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DD1" w:rsidRDefault="00BD6DD1" w:rsidP="00BD6DD1">
      <w:pPr>
        <w:tabs>
          <w:tab w:val="num" w:pos="0"/>
          <w:tab w:val="left" w:pos="142"/>
        </w:tabs>
        <w:spacing w:line="360" w:lineRule="auto"/>
        <w:ind w:firstLine="709"/>
        <w:jc w:val="right"/>
        <w:rPr>
          <w:rFonts w:eastAsia="Lucida Sans Unicode"/>
          <w:bCs/>
          <w:color w:val="auto"/>
          <w:sz w:val="24"/>
        </w:rPr>
      </w:pPr>
      <w:r>
        <w:rPr>
          <w:rFonts w:eastAsia="Lucida Sans Unicode"/>
          <w:bCs/>
          <w:color w:val="auto"/>
          <w:sz w:val="24"/>
        </w:rPr>
        <w:t>Приложение № 6.16</w:t>
      </w:r>
    </w:p>
    <w:p w:rsidR="00BD6DD1" w:rsidRPr="00BD6DD1" w:rsidRDefault="00BD6DD1" w:rsidP="00BD6DD1">
      <w:pPr>
        <w:tabs>
          <w:tab w:val="num" w:pos="0"/>
          <w:tab w:val="left" w:pos="142"/>
        </w:tabs>
        <w:spacing w:line="360" w:lineRule="auto"/>
        <w:ind w:firstLine="709"/>
        <w:rPr>
          <w:rFonts w:eastAsia="Lucida Sans Unicode"/>
          <w:bCs/>
          <w:color w:val="auto"/>
          <w:sz w:val="24"/>
        </w:rPr>
      </w:pPr>
      <w:r w:rsidRPr="00BD6DD1">
        <w:rPr>
          <w:rFonts w:eastAsia="Lucida Sans Unicode"/>
          <w:b/>
          <w:sz w:val="24"/>
        </w:rPr>
        <w:t>Порядок списания невостребованной кредиторской задолженности</w:t>
      </w:r>
    </w:p>
    <w:p w:rsidR="00BD6DD1" w:rsidRDefault="00BD6DD1" w:rsidP="00BD6DD1">
      <w:pPr>
        <w:widowControl/>
        <w:suppressAutoHyphens w:val="0"/>
        <w:ind w:left="360"/>
        <w:jc w:val="center"/>
        <w:rPr>
          <w:b/>
          <w:color w:val="auto"/>
          <w:szCs w:val="22"/>
          <w:lang w:eastAsia="ru-RU"/>
        </w:rPr>
      </w:pPr>
      <w:r>
        <w:rPr>
          <w:b/>
          <w:color w:val="auto"/>
          <w:szCs w:val="22"/>
          <w:lang w:eastAsia="ru-RU"/>
        </w:rPr>
        <w:t>1.Общие положения</w:t>
      </w:r>
    </w:p>
    <w:p w:rsidR="00BD6DD1" w:rsidRDefault="00BD6DD1" w:rsidP="00BD6DD1">
      <w:pPr>
        <w:widowControl/>
        <w:suppressAutoHyphens w:val="0"/>
        <w:ind w:left="360"/>
        <w:jc w:val="left"/>
        <w:rPr>
          <w:b/>
          <w:color w:val="auto"/>
          <w:szCs w:val="22"/>
          <w:lang w:eastAsia="ru-RU"/>
        </w:rPr>
      </w:pPr>
    </w:p>
    <w:p w:rsidR="00BD6DD1" w:rsidRDefault="00BD6DD1" w:rsidP="00BD6DD1">
      <w:pPr>
        <w:widowControl/>
        <w:suppressAutoHyphens w:val="0"/>
        <w:rPr>
          <w:color w:val="auto"/>
          <w:szCs w:val="22"/>
          <w:lang w:eastAsia="ru-RU"/>
        </w:rPr>
      </w:pPr>
      <w:r>
        <w:rPr>
          <w:color w:val="auto"/>
          <w:szCs w:val="22"/>
          <w:lang w:eastAsia="ru-RU"/>
        </w:rPr>
        <w:t xml:space="preserve">1.1. Настоящий порядок списания безнадежной (нереальной к взысканию) кредиторской задолженности (далее - Порядок) разработан в соответствии с Федеральным законом от </w:t>
      </w:r>
      <w:proofErr w:type="gramStart"/>
      <w:r>
        <w:rPr>
          <w:color w:val="auto"/>
          <w:szCs w:val="22"/>
          <w:lang w:eastAsia="ru-RU"/>
        </w:rPr>
        <w:t>06.12.2011  №</w:t>
      </w:r>
      <w:proofErr w:type="gramEnd"/>
      <w:r>
        <w:rPr>
          <w:color w:val="auto"/>
          <w:szCs w:val="22"/>
          <w:lang w:eastAsia="ru-RU"/>
        </w:rPr>
        <w:t xml:space="preserve"> 402-ФЗ «О бухгалтерском учете», Гражданским кодексом Российской Федерации (далее – ГК РФ), частью второй Налогового кодекса Российской Федерации (далее – НК РФ), Приказами Минфина России:</w:t>
      </w:r>
    </w:p>
    <w:p w:rsidR="00BD6DD1" w:rsidRDefault="00BD6DD1" w:rsidP="00BD6DD1">
      <w:pPr>
        <w:widowControl/>
        <w:numPr>
          <w:ilvl w:val="0"/>
          <w:numId w:val="1"/>
        </w:numPr>
        <w:tabs>
          <w:tab w:val="left" w:pos="0"/>
        </w:tabs>
        <w:suppressAutoHyphens w:val="0"/>
        <w:ind w:left="284" w:hanging="284"/>
        <w:rPr>
          <w:color w:val="auto"/>
          <w:szCs w:val="22"/>
          <w:lang w:eastAsia="en-US"/>
        </w:rPr>
      </w:pPr>
      <w:r>
        <w:rPr>
          <w:color w:val="auto"/>
          <w:szCs w:val="22"/>
          <w:lang w:eastAsia="en-US"/>
        </w:rPr>
        <w:t xml:space="preserve">от </w:t>
      </w:r>
      <w:r w:rsidR="00FE52B2">
        <w:rPr>
          <w:color w:val="auto"/>
          <w:szCs w:val="22"/>
          <w:lang w:eastAsia="en-US"/>
        </w:rPr>
        <w:t>30</w:t>
      </w:r>
      <w:r>
        <w:rPr>
          <w:color w:val="auto"/>
          <w:szCs w:val="22"/>
          <w:lang w:eastAsia="en-US"/>
        </w:rPr>
        <w:t>.</w:t>
      </w:r>
      <w:r w:rsidR="00FE52B2">
        <w:rPr>
          <w:color w:val="auto"/>
          <w:szCs w:val="22"/>
          <w:lang w:eastAsia="en-US"/>
        </w:rPr>
        <w:t>08</w:t>
      </w:r>
      <w:r>
        <w:rPr>
          <w:color w:val="auto"/>
          <w:szCs w:val="22"/>
          <w:lang w:eastAsia="en-US"/>
        </w:rPr>
        <w:t>.20</w:t>
      </w:r>
      <w:r w:rsidR="00FE52B2">
        <w:rPr>
          <w:color w:val="auto"/>
          <w:szCs w:val="22"/>
          <w:lang w:eastAsia="en-US"/>
        </w:rPr>
        <w:t>24</w:t>
      </w:r>
      <w:r>
        <w:rPr>
          <w:color w:val="auto"/>
          <w:szCs w:val="22"/>
          <w:lang w:eastAsia="en-US"/>
        </w:rPr>
        <w:t xml:space="preserve"> № 1</w:t>
      </w:r>
      <w:r w:rsidR="00FE52B2">
        <w:rPr>
          <w:color w:val="auto"/>
          <w:szCs w:val="22"/>
          <w:lang w:eastAsia="en-US"/>
        </w:rPr>
        <w:t>21</w:t>
      </w:r>
      <w:r>
        <w:rPr>
          <w:color w:val="auto"/>
          <w:szCs w:val="22"/>
          <w:lang w:eastAsia="en-US"/>
        </w:rPr>
        <w:t xml:space="preserve">н «Об утверждении </w:t>
      </w:r>
      <w:r w:rsidR="00FE52B2">
        <w:rPr>
          <w:color w:val="auto"/>
          <w:szCs w:val="22"/>
          <w:lang w:eastAsia="en-US"/>
        </w:rPr>
        <w:t>федерального стандарта бухгалтерского учета государственных финансов «Единый план счетов бухгалтерского учета государственных финансов»</w:t>
      </w:r>
      <w:r>
        <w:rPr>
          <w:color w:val="auto"/>
          <w:szCs w:val="22"/>
          <w:lang w:eastAsia="en-US"/>
        </w:rPr>
        <w:t xml:space="preserve">; </w:t>
      </w:r>
    </w:p>
    <w:p w:rsidR="00BD6DD1" w:rsidRPr="00FE52B2" w:rsidRDefault="00BD6DD1" w:rsidP="00D637AD">
      <w:pPr>
        <w:widowControl/>
        <w:numPr>
          <w:ilvl w:val="0"/>
          <w:numId w:val="1"/>
        </w:numPr>
        <w:tabs>
          <w:tab w:val="left" w:pos="0"/>
        </w:tabs>
        <w:suppressAutoHyphens w:val="0"/>
        <w:ind w:left="284" w:hanging="284"/>
        <w:rPr>
          <w:color w:val="auto"/>
          <w:szCs w:val="22"/>
          <w:lang w:eastAsia="en-US"/>
        </w:rPr>
      </w:pPr>
      <w:r w:rsidRPr="00FE52B2">
        <w:rPr>
          <w:color w:val="auto"/>
          <w:szCs w:val="22"/>
          <w:lang w:eastAsia="en-US"/>
        </w:rPr>
        <w:t xml:space="preserve">от </w:t>
      </w:r>
      <w:r w:rsidR="00FE52B2" w:rsidRPr="00FE52B2">
        <w:rPr>
          <w:color w:val="auto"/>
          <w:szCs w:val="22"/>
          <w:lang w:eastAsia="en-US"/>
        </w:rPr>
        <w:t>20</w:t>
      </w:r>
      <w:r w:rsidRPr="00FE52B2">
        <w:rPr>
          <w:color w:val="auto"/>
          <w:szCs w:val="22"/>
          <w:lang w:eastAsia="en-US"/>
        </w:rPr>
        <w:t>.</w:t>
      </w:r>
      <w:r w:rsidR="00FE52B2" w:rsidRPr="00FE52B2">
        <w:rPr>
          <w:color w:val="auto"/>
          <w:szCs w:val="22"/>
          <w:lang w:eastAsia="en-US"/>
        </w:rPr>
        <w:t>09</w:t>
      </w:r>
      <w:r w:rsidRPr="00FE52B2">
        <w:rPr>
          <w:color w:val="auto"/>
          <w:szCs w:val="22"/>
          <w:lang w:eastAsia="en-US"/>
        </w:rPr>
        <w:t>.20</w:t>
      </w:r>
      <w:r w:rsidR="00FE52B2" w:rsidRPr="00FE52B2">
        <w:rPr>
          <w:color w:val="auto"/>
          <w:szCs w:val="22"/>
          <w:lang w:eastAsia="en-US"/>
        </w:rPr>
        <w:t>24</w:t>
      </w:r>
      <w:r w:rsidRPr="00FE52B2">
        <w:rPr>
          <w:color w:val="auto"/>
          <w:szCs w:val="22"/>
          <w:lang w:eastAsia="en-US"/>
        </w:rPr>
        <w:t xml:space="preserve"> № 1</w:t>
      </w:r>
      <w:r w:rsidR="00FE52B2" w:rsidRPr="00FE52B2">
        <w:rPr>
          <w:color w:val="auto"/>
          <w:szCs w:val="22"/>
          <w:lang w:eastAsia="en-US"/>
        </w:rPr>
        <w:t>3</w:t>
      </w:r>
      <w:r w:rsidRPr="00FE52B2">
        <w:rPr>
          <w:color w:val="auto"/>
          <w:szCs w:val="22"/>
          <w:lang w:eastAsia="en-US"/>
        </w:rPr>
        <w:t xml:space="preserve">2н «Об утверждении </w:t>
      </w:r>
      <w:r w:rsidR="00FE52B2" w:rsidRPr="00FE52B2">
        <w:rPr>
          <w:color w:val="auto"/>
          <w:szCs w:val="22"/>
          <w:lang w:eastAsia="en-US"/>
        </w:rPr>
        <w:t>федерального стандарта бухгалтерского учета государственных финансов «План счетов бюджетного учета».</w:t>
      </w:r>
    </w:p>
    <w:p w:rsidR="00BD6DD1" w:rsidRDefault="00BD6DD1" w:rsidP="00BD6DD1">
      <w:pPr>
        <w:widowControl/>
        <w:suppressAutoHyphens w:val="0"/>
        <w:rPr>
          <w:color w:val="auto"/>
          <w:szCs w:val="22"/>
          <w:lang w:eastAsia="ru-RU"/>
        </w:rPr>
      </w:pPr>
      <w:r>
        <w:rPr>
          <w:color w:val="auto"/>
          <w:szCs w:val="22"/>
          <w:lang w:eastAsia="ru-RU"/>
        </w:rPr>
        <w:t>1.2.   Настоящий Порядок определяет:</w:t>
      </w:r>
    </w:p>
    <w:p w:rsidR="00BD6DD1" w:rsidRDefault="00BD6DD1" w:rsidP="00BD6DD1">
      <w:pPr>
        <w:widowControl/>
        <w:numPr>
          <w:ilvl w:val="0"/>
          <w:numId w:val="2"/>
        </w:numPr>
        <w:suppressAutoHyphens w:val="0"/>
        <w:ind w:left="284" w:hanging="284"/>
        <w:rPr>
          <w:color w:val="auto"/>
          <w:szCs w:val="22"/>
          <w:lang w:eastAsia="ru-RU"/>
        </w:rPr>
      </w:pPr>
      <w:r>
        <w:rPr>
          <w:color w:val="auto"/>
          <w:szCs w:val="22"/>
          <w:lang w:eastAsia="ru-RU"/>
        </w:rPr>
        <w:t>критерии отнесения кредиторской задолженности к невостребованной для целей бухгалтерского учета;</w:t>
      </w:r>
    </w:p>
    <w:p w:rsidR="00BD6DD1" w:rsidRDefault="00BD6DD1" w:rsidP="00BD6DD1">
      <w:pPr>
        <w:widowControl/>
        <w:numPr>
          <w:ilvl w:val="0"/>
          <w:numId w:val="2"/>
        </w:numPr>
        <w:suppressAutoHyphens w:val="0"/>
        <w:ind w:left="284" w:hanging="284"/>
        <w:rPr>
          <w:color w:val="auto"/>
          <w:szCs w:val="22"/>
          <w:lang w:eastAsia="ru-RU"/>
        </w:rPr>
      </w:pPr>
      <w:r>
        <w:rPr>
          <w:color w:val="auto"/>
          <w:szCs w:val="22"/>
          <w:lang w:eastAsia="ru-RU"/>
        </w:rPr>
        <w:t>этапы проведения инвентаризации расчетов;</w:t>
      </w:r>
    </w:p>
    <w:p w:rsidR="00BD6DD1" w:rsidRDefault="00BD6DD1" w:rsidP="00BD6DD1">
      <w:pPr>
        <w:widowControl/>
        <w:numPr>
          <w:ilvl w:val="0"/>
          <w:numId w:val="2"/>
        </w:numPr>
        <w:suppressAutoHyphens w:val="0"/>
        <w:ind w:left="284" w:hanging="284"/>
        <w:rPr>
          <w:color w:val="auto"/>
          <w:szCs w:val="22"/>
          <w:lang w:eastAsia="ru-RU"/>
        </w:rPr>
      </w:pPr>
      <w:r>
        <w:rPr>
          <w:color w:val="auto"/>
          <w:szCs w:val="22"/>
          <w:lang w:eastAsia="ru-RU"/>
        </w:rPr>
        <w:t>методологию списания кредиторской задолженности, невостребованной кредиторами, в бухгалтерском учете учреждения;</w:t>
      </w:r>
    </w:p>
    <w:p w:rsidR="00BD6DD1" w:rsidRDefault="00BD6DD1" w:rsidP="00BD6DD1">
      <w:pPr>
        <w:widowControl/>
        <w:numPr>
          <w:ilvl w:val="0"/>
          <w:numId w:val="2"/>
        </w:numPr>
        <w:suppressAutoHyphens w:val="0"/>
        <w:ind w:left="284" w:hanging="284"/>
        <w:rPr>
          <w:bCs/>
          <w:color w:val="auto"/>
          <w:szCs w:val="22"/>
          <w:lang w:eastAsia="ru-RU"/>
        </w:rPr>
      </w:pPr>
      <w:r>
        <w:rPr>
          <w:color w:val="auto"/>
          <w:szCs w:val="22"/>
          <w:lang w:eastAsia="ru-RU"/>
        </w:rPr>
        <w:t xml:space="preserve">методологию учета сумм кредиторской задолженности, невостребованной кредиторами, на </w:t>
      </w:r>
      <w:proofErr w:type="spellStart"/>
      <w:r>
        <w:rPr>
          <w:color w:val="auto"/>
          <w:szCs w:val="22"/>
          <w:lang w:eastAsia="ru-RU"/>
        </w:rPr>
        <w:t>забалансовом</w:t>
      </w:r>
      <w:proofErr w:type="spellEnd"/>
      <w:r>
        <w:rPr>
          <w:color w:val="auto"/>
          <w:szCs w:val="22"/>
          <w:lang w:eastAsia="ru-RU"/>
        </w:rPr>
        <w:t xml:space="preserve"> счете 20 «Задолженность, невостребованная кредиторами».</w:t>
      </w:r>
    </w:p>
    <w:p w:rsidR="00BD6DD1" w:rsidRDefault="00BD6DD1" w:rsidP="00BD6DD1">
      <w:pPr>
        <w:widowControl/>
        <w:suppressAutoHyphens w:val="0"/>
        <w:rPr>
          <w:bCs/>
          <w:color w:val="auto"/>
          <w:szCs w:val="22"/>
          <w:lang w:eastAsia="ru-RU"/>
        </w:rPr>
      </w:pPr>
    </w:p>
    <w:p w:rsidR="00BD6DD1" w:rsidRDefault="00BD6DD1" w:rsidP="00BD6DD1">
      <w:pPr>
        <w:widowControl/>
        <w:suppressAutoHyphens w:val="0"/>
        <w:rPr>
          <w:color w:val="auto"/>
          <w:szCs w:val="22"/>
          <w:lang w:eastAsia="ru-RU"/>
        </w:rPr>
      </w:pPr>
      <w:r>
        <w:rPr>
          <w:color w:val="auto"/>
          <w:szCs w:val="22"/>
          <w:lang w:eastAsia="ru-RU"/>
        </w:rPr>
        <w:t>1.3.  Основными целями Порядка являются:</w:t>
      </w:r>
    </w:p>
    <w:p w:rsidR="00BD6DD1" w:rsidRDefault="00BD6DD1" w:rsidP="00BD6DD1">
      <w:pPr>
        <w:widowControl/>
        <w:numPr>
          <w:ilvl w:val="0"/>
          <w:numId w:val="3"/>
        </w:numPr>
        <w:suppressAutoHyphens w:val="0"/>
        <w:ind w:left="284" w:hanging="284"/>
        <w:rPr>
          <w:bCs/>
          <w:color w:val="auto"/>
          <w:szCs w:val="22"/>
          <w:lang w:eastAsia="ru-RU"/>
        </w:rPr>
      </w:pPr>
      <w:r>
        <w:rPr>
          <w:bCs/>
          <w:color w:val="auto"/>
          <w:szCs w:val="22"/>
          <w:lang w:eastAsia="ru-RU"/>
        </w:rPr>
        <w:t>усиление контроля за состоянием кредиторской задолженности;</w:t>
      </w:r>
    </w:p>
    <w:p w:rsidR="00BD6DD1" w:rsidRDefault="00BD6DD1" w:rsidP="00BD6DD1">
      <w:pPr>
        <w:widowControl/>
        <w:numPr>
          <w:ilvl w:val="0"/>
          <w:numId w:val="3"/>
        </w:numPr>
        <w:suppressAutoHyphens w:val="0"/>
        <w:ind w:left="284" w:hanging="284"/>
        <w:rPr>
          <w:color w:val="auto"/>
          <w:szCs w:val="22"/>
          <w:lang w:eastAsia="ru-RU"/>
        </w:rPr>
      </w:pPr>
      <w:r>
        <w:rPr>
          <w:bCs/>
          <w:color w:val="auto"/>
          <w:szCs w:val="22"/>
          <w:lang w:eastAsia="ru-RU"/>
        </w:rPr>
        <w:t>недопущение возникновения просроченной кредиторской задолженности</w:t>
      </w:r>
      <w:r>
        <w:rPr>
          <w:color w:val="auto"/>
          <w:szCs w:val="22"/>
          <w:lang w:eastAsia="ru-RU"/>
        </w:rPr>
        <w:t xml:space="preserve"> в процессе ведения финансово-хозяйственной деятельности учреждения</w:t>
      </w:r>
    </w:p>
    <w:p w:rsidR="00BD6DD1" w:rsidRDefault="00BD6DD1" w:rsidP="00BD6DD1">
      <w:pPr>
        <w:widowControl/>
        <w:suppressAutoHyphens w:val="0"/>
        <w:ind w:firstLine="539"/>
        <w:jc w:val="center"/>
        <w:rPr>
          <w:color w:val="auto"/>
          <w:szCs w:val="22"/>
          <w:lang w:eastAsia="ru-RU"/>
        </w:rPr>
      </w:pPr>
    </w:p>
    <w:p w:rsidR="00BD6DD1" w:rsidRDefault="00BD6DD1" w:rsidP="00BD6DD1">
      <w:pPr>
        <w:widowControl/>
        <w:suppressAutoHyphens w:val="0"/>
        <w:ind w:firstLine="539"/>
        <w:jc w:val="center"/>
        <w:rPr>
          <w:b/>
          <w:color w:val="auto"/>
          <w:szCs w:val="22"/>
          <w:lang w:eastAsia="ru-RU"/>
        </w:rPr>
      </w:pPr>
      <w:r>
        <w:rPr>
          <w:b/>
          <w:color w:val="auto"/>
          <w:szCs w:val="22"/>
          <w:lang w:eastAsia="ru-RU"/>
        </w:rPr>
        <w:t>2. Основные понятия и определения</w:t>
      </w:r>
    </w:p>
    <w:p w:rsidR="00BD6DD1" w:rsidRDefault="00BD6DD1" w:rsidP="00BD6DD1">
      <w:pPr>
        <w:widowControl/>
        <w:suppressAutoHyphens w:val="0"/>
        <w:ind w:firstLine="539"/>
        <w:jc w:val="center"/>
        <w:rPr>
          <w:b/>
          <w:color w:val="auto"/>
          <w:szCs w:val="22"/>
          <w:lang w:eastAsia="ru-RU"/>
        </w:rPr>
      </w:pPr>
    </w:p>
    <w:p w:rsidR="00BD6DD1" w:rsidRDefault="00BD6DD1" w:rsidP="00BD6DD1">
      <w:pPr>
        <w:widowControl/>
        <w:suppressAutoHyphens w:val="0"/>
        <w:rPr>
          <w:color w:val="auto"/>
          <w:szCs w:val="22"/>
          <w:lang w:eastAsia="ru-RU"/>
        </w:rPr>
      </w:pPr>
      <w:r>
        <w:rPr>
          <w:color w:val="auto"/>
          <w:szCs w:val="22"/>
          <w:lang w:eastAsia="ru-RU"/>
        </w:rPr>
        <w:t>2.1. Для целей настоящего Порядка используются следующие понятия и определения:</w:t>
      </w:r>
    </w:p>
    <w:p w:rsidR="00BD6DD1" w:rsidRDefault="00BD6DD1" w:rsidP="00BD6DD1">
      <w:pPr>
        <w:widowControl/>
        <w:suppressAutoHyphens w:val="0"/>
        <w:autoSpaceDE w:val="0"/>
        <w:autoSpaceDN w:val="0"/>
        <w:adjustRightInd w:val="0"/>
        <w:rPr>
          <w:bCs/>
          <w:color w:val="auto"/>
          <w:szCs w:val="22"/>
          <w:lang w:eastAsia="ru-RU"/>
        </w:rPr>
      </w:pPr>
      <w:r>
        <w:rPr>
          <w:b/>
          <w:bCs/>
          <w:color w:val="auto"/>
          <w:szCs w:val="22"/>
          <w:lang w:eastAsia="ru-RU"/>
        </w:rPr>
        <w:t>Кредиторская задолженность учреждения</w:t>
      </w:r>
      <w:r>
        <w:rPr>
          <w:bCs/>
          <w:color w:val="auto"/>
          <w:szCs w:val="22"/>
          <w:lang w:eastAsia="ru-RU"/>
        </w:rPr>
        <w:t xml:space="preserve"> -  суммы непредъявленных кредиторами требований, вытекающих из условий договора, контракта, в том числе суммы кредиторской задолженности, не подтвержденные по результатам инвентаризации кредитором, а также кредиторская задолженность, образовавшаяся в связи с переплатами в бюджет, в том числе налогов.</w:t>
      </w:r>
    </w:p>
    <w:p w:rsidR="00BD6DD1" w:rsidRDefault="00BD6DD1" w:rsidP="00BD6DD1">
      <w:pPr>
        <w:widowControl/>
        <w:suppressAutoHyphens w:val="0"/>
        <w:autoSpaceDE w:val="0"/>
        <w:autoSpaceDN w:val="0"/>
        <w:adjustRightInd w:val="0"/>
        <w:rPr>
          <w:color w:val="auto"/>
          <w:szCs w:val="22"/>
          <w:lang w:eastAsia="ru-RU"/>
        </w:rPr>
      </w:pPr>
      <w:r>
        <w:rPr>
          <w:b/>
          <w:color w:val="auto"/>
          <w:szCs w:val="22"/>
          <w:lang w:eastAsia="ru-RU"/>
        </w:rPr>
        <w:t>Предельно допустимое значение просроченной кредиторской задолженности</w:t>
      </w:r>
      <w:r>
        <w:rPr>
          <w:color w:val="auto"/>
          <w:szCs w:val="22"/>
          <w:lang w:eastAsia="ru-RU"/>
        </w:rPr>
        <w:t xml:space="preserve"> - предельная величина просроченной кредиторской задолженности учреждения, при превышении которой у работодателя в соответствии с Трудовым </w:t>
      </w:r>
      <w:hyperlink r:id="rId5" w:history="1">
        <w:r>
          <w:rPr>
            <w:rStyle w:val="a3"/>
            <w:color w:val="auto"/>
            <w:szCs w:val="22"/>
            <w:u w:val="none"/>
            <w:lang w:eastAsia="ru-RU"/>
          </w:rPr>
          <w:t>кодексом</w:t>
        </w:r>
      </w:hyperlink>
      <w:r>
        <w:rPr>
          <w:color w:val="auto"/>
          <w:szCs w:val="22"/>
          <w:lang w:eastAsia="ru-RU"/>
        </w:rPr>
        <w:t xml:space="preserve"> Российской Федерации возникает право расторгнуть трудовой договор с руководителем учреждения.</w:t>
      </w:r>
    </w:p>
    <w:p w:rsidR="00BD6DD1" w:rsidRDefault="00BD6DD1" w:rsidP="00BD6DD1">
      <w:pPr>
        <w:widowControl/>
        <w:suppressAutoHyphens w:val="0"/>
        <w:autoSpaceDE w:val="0"/>
        <w:autoSpaceDN w:val="0"/>
        <w:adjustRightInd w:val="0"/>
        <w:rPr>
          <w:bCs/>
          <w:color w:val="auto"/>
          <w:szCs w:val="22"/>
          <w:lang w:eastAsia="ru-RU"/>
        </w:rPr>
      </w:pPr>
      <w:r>
        <w:rPr>
          <w:b/>
          <w:bCs/>
          <w:color w:val="auto"/>
          <w:szCs w:val="22"/>
          <w:lang w:eastAsia="ru-RU"/>
        </w:rPr>
        <w:t>Просроченная кредиторская задолженность</w:t>
      </w:r>
      <w:r>
        <w:rPr>
          <w:bCs/>
          <w:color w:val="auto"/>
          <w:szCs w:val="22"/>
          <w:lang w:eastAsia="ru-RU"/>
        </w:rPr>
        <w:t xml:space="preserve"> - кредиторская задолженность, срок погашения которой, предусмотренный заключенными гражданско-правовыми договорами, локальными правовыми актами, действующим законодательством, истек.</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В соответствии со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6" w:history="1">
        <w:r>
          <w:rPr>
            <w:rStyle w:val="a3"/>
            <w:color w:val="auto"/>
            <w:szCs w:val="22"/>
            <w:u w:val="none"/>
            <w:lang w:eastAsia="ru-RU"/>
          </w:rPr>
          <w:t>обычаями делового оборота</w:t>
        </w:r>
      </w:hyperlink>
      <w:r>
        <w:rPr>
          <w:color w:val="auto"/>
          <w:szCs w:val="22"/>
          <w:lang w:eastAsia="ru-RU"/>
        </w:rPr>
        <w:t xml:space="preserve"> или иными обычно предъявляемыми требованиями. </w:t>
      </w:r>
    </w:p>
    <w:p w:rsidR="00BD6DD1" w:rsidRDefault="00BD6DD1" w:rsidP="00BD6DD1">
      <w:pPr>
        <w:widowControl/>
        <w:suppressAutoHyphens w:val="0"/>
        <w:autoSpaceDE w:val="0"/>
        <w:autoSpaceDN w:val="0"/>
        <w:adjustRightInd w:val="0"/>
        <w:rPr>
          <w:color w:val="auto"/>
          <w:szCs w:val="22"/>
          <w:lang w:eastAsia="ru-RU"/>
        </w:rPr>
      </w:pPr>
      <w:r>
        <w:rPr>
          <w:bCs/>
          <w:color w:val="auto"/>
          <w:szCs w:val="22"/>
          <w:lang w:eastAsia="ru-RU"/>
        </w:rPr>
        <w:t>2.2. Исковой давностью</w:t>
      </w:r>
      <w:r>
        <w:rPr>
          <w:color w:val="auto"/>
          <w:szCs w:val="22"/>
          <w:lang w:eastAsia="ru-RU"/>
        </w:rPr>
        <w:t xml:space="preserve"> признается срок для защиты права по иску лица, право которого нарушено (ст.195 ГК РФ).</w:t>
      </w:r>
    </w:p>
    <w:p w:rsidR="00BD6DD1" w:rsidRDefault="00BD6DD1" w:rsidP="00BD6DD1">
      <w:pPr>
        <w:widowControl/>
        <w:suppressAutoHyphens w:val="0"/>
        <w:autoSpaceDE w:val="0"/>
        <w:autoSpaceDN w:val="0"/>
        <w:adjustRightInd w:val="0"/>
        <w:rPr>
          <w:color w:val="auto"/>
          <w:szCs w:val="22"/>
          <w:lang w:eastAsia="ru-RU"/>
        </w:rPr>
      </w:pPr>
      <w:r>
        <w:rPr>
          <w:b/>
          <w:color w:val="auto"/>
          <w:szCs w:val="22"/>
          <w:lang w:eastAsia="ru-RU"/>
        </w:rPr>
        <w:t xml:space="preserve">     Общий срок исковой давности устанавливается 3 года</w:t>
      </w:r>
      <w:r>
        <w:rPr>
          <w:color w:val="auto"/>
          <w:szCs w:val="22"/>
          <w:lang w:eastAsia="ru-RU"/>
        </w:rPr>
        <w:t xml:space="preserve"> со дня, когда лицо узнало или должно было узнать о нарушении своего права и о том, кто является надлежащим ответчиком по иску о защите этого права (ст. 196, ст. 200 ГК РФ).</w:t>
      </w:r>
    </w:p>
    <w:p w:rsidR="00BD6DD1" w:rsidRDefault="00BD6DD1" w:rsidP="00BD6DD1">
      <w:pPr>
        <w:rPr>
          <w:rFonts w:eastAsia="Lucida Sans Unicode"/>
          <w:szCs w:val="22"/>
          <w:lang w:eastAsia="ru-RU"/>
        </w:rPr>
      </w:pPr>
      <w:r>
        <w:rPr>
          <w:rFonts w:eastAsia="Lucida Sans Unicode"/>
          <w:szCs w:val="22"/>
          <w:lang w:eastAsia="ru-RU"/>
        </w:rPr>
        <w:t xml:space="preserve">     Для отдельных видов требований ГК РФ установлены специальные сроки исковой давности (сокращенные или более длительные по сравнению с общим сроком) (ст.725, 797, 966 ГК РФ).    </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По обязательствам с определенным сроком исполнения течение срока исковой давности начинается по окончании срока исполнения (ст. 200 ГК РФ).</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lastRenderedPageBreak/>
        <w:t xml:space="preserve">     Срок исковой давности и порядок его исчисления не может быть изменен соглашением сторон. С истечением срока исковой давности по главному требованию истекает срок и по дополнительным требованиям (неустойка, пени, штрафы, залог и др.) Основания приостановления и перерыва течения сроков исковой давности устанавливаются ГК РФ и иными законами (ст. 198, ст. 207 ГК РФ).</w:t>
      </w:r>
    </w:p>
    <w:p w:rsidR="00BD6DD1" w:rsidRDefault="00BD6DD1" w:rsidP="00BD6DD1">
      <w:pPr>
        <w:widowControl/>
        <w:suppressAutoHyphens w:val="0"/>
        <w:autoSpaceDE w:val="0"/>
        <w:autoSpaceDN w:val="0"/>
        <w:adjustRightInd w:val="0"/>
        <w:rPr>
          <w:i/>
          <w:color w:val="auto"/>
          <w:szCs w:val="22"/>
          <w:lang w:eastAsia="ru-RU"/>
        </w:rPr>
      </w:pPr>
      <w:r>
        <w:rPr>
          <w:color w:val="auto"/>
          <w:szCs w:val="22"/>
          <w:lang w:eastAsia="ru-RU"/>
        </w:rPr>
        <w:t xml:space="preserve">     Течение срока исковой давности прерывается совершением обязанным лицом действий, свидетельствующих о признании долга</w:t>
      </w:r>
      <w:r>
        <w:rPr>
          <w:i/>
          <w:color w:val="auto"/>
          <w:szCs w:val="22"/>
          <w:lang w:eastAsia="ru-RU"/>
        </w:rPr>
        <w:t>:</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val="en-US" w:eastAsia="ru-RU"/>
        </w:rPr>
      </w:pPr>
      <w:r>
        <w:rPr>
          <w:color w:val="auto"/>
          <w:szCs w:val="22"/>
          <w:lang w:eastAsia="ru-RU"/>
        </w:rPr>
        <w:t>признание претензии</w:t>
      </w:r>
      <w:r>
        <w:rPr>
          <w:color w:val="auto"/>
          <w:szCs w:val="22"/>
          <w:lang w:val="en-US" w:eastAsia="ru-RU"/>
        </w:rPr>
        <w:t>;</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eastAsia="ru-RU"/>
        </w:rPr>
      </w:pPr>
      <w:r>
        <w:rPr>
          <w:color w:val="auto"/>
          <w:szCs w:val="22"/>
          <w:lang w:eastAsia="ru-RU"/>
        </w:rPr>
        <w:t>частичная уплата должником или с его согласия другим лицом основного долга и (или) сумм санкций;</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eastAsia="ru-RU"/>
        </w:rPr>
      </w:pPr>
      <w:r>
        <w:rPr>
          <w:color w:val="auto"/>
          <w:szCs w:val="22"/>
          <w:lang w:eastAsia="ru-RU"/>
        </w:rPr>
        <w:t>частичное признание претензии об уплате основного долга;</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eastAsia="ru-RU"/>
        </w:rPr>
      </w:pPr>
      <w:r>
        <w:rPr>
          <w:color w:val="auto"/>
          <w:szCs w:val="22"/>
          <w:lang w:eastAsia="ru-RU"/>
        </w:rPr>
        <w:t>уплата процентов по основному долгу;</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eastAsia="ru-RU"/>
        </w:rPr>
      </w:pPr>
      <w:r>
        <w:rPr>
          <w:color w:val="auto"/>
          <w:szCs w:val="22"/>
          <w:lang w:eastAsia="ru-RU"/>
        </w:rPr>
        <w:t>изменение договора уполномоченным лицом, из которого следует, что должник признает наличие долга, равно как и просьба должника о таком изменении договора (например, об отсрочке или рассрочке платежа);</w:t>
      </w:r>
    </w:p>
    <w:p w:rsidR="00BD6DD1" w:rsidRDefault="00BD6DD1" w:rsidP="00BD6DD1">
      <w:pPr>
        <w:widowControl/>
        <w:numPr>
          <w:ilvl w:val="0"/>
          <w:numId w:val="4"/>
        </w:numPr>
        <w:tabs>
          <w:tab w:val="num" w:pos="284"/>
        </w:tabs>
        <w:suppressAutoHyphens w:val="0"/>
        <w:autoSpaceDE w:val="0"/>
        <w:autoSpaceDN w:val="0"/>
        <w:adjustRightInd w:val="0"/>
        <w:ind w:left="284" w:hanging="284"/>
        <w:rPr>
          <w:color w:val="auto"/>
          <w:szCs w:val="22"/>
          <w:lang w:eastAsia="ru-RU"/>
        </w:rPr>
      </w:pPr>
      <w:r>
        <w:rPr>
          <w:color w:val="auto"/>
          <w:szCs w:val="22"/>
          <w:lang w:eastAsia="ru-RU"/>
        </w:rPr>
        <w:t>акцепт инкассового поручения.</w:t>
      </w:r>
    </w:p>
    <w:p w:rsidR="00BD6DD1" w:rsidRDefault="00BD6DD1" w:rsidP="00BD6DD1">
      <w:pPr>
        <w:widowControl/>
        <w:suppressAutoHyphens w:val="0"/>
        <w:autoSpaceDE w:val="0"/>
        <w:autoSpaceDN w:val="0"/>
        <w:adjustRightInd w:val="0"/>
        <w:rPr>
          <w:color w:val="auto"/>
          <w:szCs w:val="22"/>
          <w:lang w:eastAsia="ru-RU"/>
        </w:rPr>
      </w:pPr>
      <w:r>
        <w:rPr>
          <w:bCs/>
          <w:color w:val="auto"/>
          <w:szCs w:val="22"/>
          <w:lang w:eastAsia="ru-RU"/>
        </w:rPr>
        <w:t xml:space="preserve">     Срок исковой давности не может превышать 10 лет со дня нарушения права, для защиты которого этот срок установлен, за исключением случаев, установленных Федеральным </w:t>
      </w:r>
      <w:proofErr w:type="gramStart"/>
      <w:r>
        <w:rPr>
          <w:bCs/>
          <w:color w:val="auto"/>
          <w:szCs w:val="22"/>
          <w:lang w:eastAsia="ru-RU"/>
        </w:rPr>
        <w:t>законом  от</w:t>
      </w:r>
      <w:proofErr w:type="gramEnd"/>
      <w:r>
        <w:rPr>
          <w:bCs/>
          <w:color w:val="auto"/>
          <w:szCs w:val="22"/>
          <w:lang w:eastAsia="ru-RU"/>
        </w:rPr>
        <w:t xml:space="preserve"> 06.03.2006  № 35-ФЗ «О противодействии терроризму» (с</w:t>
      </w:r>
      <w:r>
        <w:rPr>
          <w:color w:val="auto"/>
          <w:szCs w:val="22"/>
          <w:lang w:eastAsia="ru-RU"/>
        </w:rPr>
        <w:t>т. 196 ГК РФ).</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2.3. Подписание учреждением – кредитором акта сверки расчетов с контрагентом до истечения срока исковой давности служит доказательством признания долга, течение срока исковой давности по подтвержденному обязательству начинается заново, время, истекшее до перерыва, не засчитывается в новый срок (ст. </w:t>
      </w:r>
      <w:proofErr w:type="gramStart"/>
      <w:r>
        <w:rPr>
          <w:color w:val="auto"/>
          <w:szCs w:val="22"/>
          <w:lang w:eastAsia="ru-RU"/>
        </w:rPr>
        <w:t>203  ГК</w:t>
      </w:r>
      <w:proofErr w:type="gramEnd"/>
      <w:r>
        <w:rPr>
          <w:color w:val="auto"/>
          <w:szCs w:val="22"/>
          <w:lang w:eastAsia="ru-RU"/>
        </w:rPr>
        <w:t xml:space="preserve"> РФ). </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Письменное подтверждение долга после того, как срок исковой давности истек, никакого влияния на этот срок уже не оказывает, то есть срок исковой давности не восстанавливается и не продлевается. </w:t>
      </w:r>
    </w:p>
    <w:p w:rsidR="00BD6DD1" w:rsidRDefault="00BD6DD1" w:rsidP="00BD6DD1">
      <w:pPr>
        <w:widowControl/>
        <w:suppressAutoHyphens w:val="0"/>
        <w:autoSpaceDE w:val="0"/>
        <w:autoSpaceDN w:val="0"/>
        <w:adjustRightInd w:val="0"/>
        <w:rPr>
          <w:color w:val="auto"/>
          <w:szCs w:val="22"/>
          <w:lang w:eastAsia="ru-RU"/>
        </w:rPr>
      </w:pPr>
    </w:p>
    <w:p w:rsidR="00BD6DD1" w:rsidRDefault="00BD6DD1" w:rsidP="00BD6DD1">
      <w:pPr>
        <w:widowControl/>
        <w:suppressAutoHyphens w:val="0"/>
        <w:autoSpaceDE w:val="0"/>
        <w:autoSpaceDN w:val="0"/>
        <w:adjustRightInd w:val="0"/>
        <w:ind w:firstLine="540"/>
        <w:jc w:val="center"/>
        <w:rPr>
          <w:b/>
          <w:color w:val="auto"/>
          <w:szCs w:val="22"/>
          <w:lang w:eastAsia="ru-RU"/>
        </w:rPr>
      </w:pPr>
      <w:r>
        <w:rPr>
          <w:b/>
          <w:color w:val="auto"/>
          <w:szCs w:val="22"/>
          <w:lang w:eastAsia="ru-RU"/>
        </w:rPr>
        <w:t>3. Критерии отнесения кредиторской задолженности к невостребованной для целей бухгалтерского учета</w:t>
      </w:r>
    </w:p>
    <w:p w:rsidR="00BD6DD1" w:rsidRDefault="00BD6DD1" w:rsidP="00BD6DD1">
      <w:pPr>
        <w:widowControl/>
        <w:suppressAutoHyphens w:val="0"/>
        <w:autoSpaceDE w:val="0"/>
        <w:autoSpaceDN w:val="0"/>
        <w:adjustRightInd w:val="0"/>
        <w:ind w:firstLine="540"/>
        <w:rPr>
          <w:b/>
          <w:color w:val="auto"/>
          <w:szCs w:val="22"/>
          <w:lang w:eastAsia="ru-RU"/>
        </w:rPr>
      </w:pP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3.1. Кредиторская задолженность, числящаяся в учете учреждения в пределах действующих сроков оплаты, выставленных кредитором счетов, считается естественной. Кредиторская задолженность в сумме не предъявленных кредитором требований в течение срока исковой давности, в том числе задолженность, не подтвержденная по результатам инвентаризации кредитором, переходит в разряд задолженности, невостребованной кредитором или нереальной.</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3.2. Основания для признания кредиторской задолженности невостребованной:</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истечение срока исковой давности (ст. 196 ГК РФ);</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прекращение обязательства в связи с невозможностью его исполнения (ст. 416 ГК РФ). Например, информация о кредиторе утратила актуальность, отсутствуют данные о кредиторе, невозможно установить контакт с кредитором;</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прекращение обязательства на основании акта государственного органа (ст. 417 ГК РФ);</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прекращение обязательства в связи с ликвидацией юридического лица или смертью гражданина (ст. 418, ст. 419 ГК РФ);</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случаи, когда кредитор не предъявляет требования, которые прописаны в условиях договора (контракта), и не подтверждает задолженность по результатам инвентаризации (п. 371 Инструкции № 157н);</w:t>
      </w:r>
    </w:p>
    <w:p w:rsidR="00BD6DD1" w:rsidRDefault="00BD6DD1" w:rsidP="00BD6DD1">
      <w:pPr>
        <w:widowControl/>
        <w:numPr>
          <w:ilvl w:val="0"/>
          <w:numId w:val="5"/>
        </w:numPr>
        <w:suppressAutoHyphens w:val="0"/>
        <w:ind w:left="284" w:hanging="284"/>
        <w:rPr>
          <w:color w:val="auto"/>
          <w:szCs w:val="22"/>
          <w:lang w:eastAsia="ru-RU"/>
        </w:rPr>
      </w:pPr>
      <w:r>
        <w:rPr>
          <w:color w:val="auto"/>
          <w:szCs w:val="22"/>
          <w:lang w:eastAsia="ru-RU"/>
        </w:rPr>
        <w:t>наличие письменного заявления от кредитора об отказе в возврате переплаты, прощении долга (письмо Минфина России от 01.12.2021 № 02-07-07/98091).</w:t>
      </w:r>
    </w:p>
    <w:p w:rsidR="00BD6DD1" w:rsidRDefault="00BD6DD1" w:rsidP="00BD6DD1">
      <w:pPr>
        <w:widowControl/>
        <w:suppressAutoHyphens w:val="0"/>
        <w:rPr>
          <w:color w:val="auto"/>
          <w:szCs w:val="22"/>
          <w:lang w:eastAsia="ru-RU"/>
        </w:rPr>
      </w:pPr>
      <w:r>
        <w:rPr>
          <w:color w:val="auto"/>
          <w:szCs w:val="22"/>
          <w:lang w:eastAsia="ru-RU"/>
        </w:rPr>
        <w:t xml:space="preserve">     Сведения о государственной регистрации юридических лиц и о дате внесения записи о прекращении их деятельности проверяются по ИНН, ОГРН либо по наименованию на сайте </w:t>
      </w:r>
      <w:proofErr w:type="spellStart"/>
      <w:r>
        <w:rPr>
          <w:color w:val="auto"/>
          <w:szCs w:val="22"/>
          <w:lang w:val="en-US" w:eastAsia="ru-RU"/>
        </w:rPr>
        <w:t>egrul</w:t>
      </w:r>
      <w:proofErr w:type="spellEnd"/>
      <w:r>
        <w:rPr>
          <w:color w:val="auto"/>
          <w:szCs w:val="22"/>
          <w:lang w:eastAsia="ru-RU"/>
        </w:rPr>
        <w:t>.</w:t>
      </w:r>
      <w:proofErr w:type="spellStart"/>
      <w:r>
        <w:rPr>
          <w:color w:val="auto"/>
          <w:szCs w:val="22"/>
          <w:lang w:val="en-US" w:eastAsia="ru-RU"/>
        </w:rPr>
        <w:t>nalog</w:t>
      </w:r>
      <w:proofErr w:type="spellEnd"/>
      <w:r>
        <w:rPr>
          <w:color w:val="auto"/>
          <w:szCs w:val="22"/>
          <w:lang w:eastAsia="ru-RU"/>
        </w:rPr>
        <w:t>.</w:t>
      </w:r>
      <w:proofErr w:type="spellStart"/>
      <w:r>
        <w:rPr>
          <w:color w:val="auto"/>
          <w:szCs w:val="22"/>
          <w:lang w:val="en-US" w:eastAsia="ru-RU"/>
        </w:rPr>
        <w:t>ru</w:t>
      </w:r>
      <w:proofErr w:type="spellEnd"/>
      <w:r>
        <w:rPr>
          <w:color w:val="auto"/>
          <w:szCs w:val="22"/>
          <w:lang w:eastAsia="ru-RU"/>
        </w:rPr>
        <w:t>.</w:t>
      </w:r>
    </w:p>
    <w:p w:rsidR="00BD6DD1" w:rsidRDefault="00BD6DD1" w:rsidP="00BD6DD1">
      <w:pPr>
        <w:widowControl/>
        <w:suppressAutoHyphens w:val="0"/>
        <w:ind w:left="360"/>
        <w:rPr>
          <w:b/>
          <w:color w:val="auto"/>
          <w:szCs w:val="22"/>
          <w:lang w:eastAsia="ru-RU"/>
        </w:rPr>
      </w:pPr>
    </w:p>
    <w:p w:rsidR="00BD6DD1" w:rsidRDefault="00BD6DD1" w:rsidP="00BD6DD1">
      <w:pPr>
        <w:widowControl/>
        <w:suppressAutoHyphens w:val="0"/>
        <w:ind w:left="360"/>
        <w:jc w:val="center"/>
        <w:rPr>
          <w:b/>
          <w:color w:val="auto"/>
          <w:szCs w:val="22"/>
          <w:lang w:eastAsia="ru-RU"/>
        </w:rPr>
      </w:pPr>
      <w:r>
        <w:rPr>
          <w:b/>
          <w:color w:val="auto"/>
          <w:szCs w:val="22"/>
          <w:lang w:eastAsia="ru-RU"/>
        </w:rPr>
        <w:t>4.  Этапы проведения инвентаризации расчетов</w:t>
      </w:r>
    </w:p>
    <w:p w:rsidR="00BD6DD1" w:rsidRDefault="00BD6DD1" w:rsidP="00BD6DD1">
      <w:pPr>
        <w:widowControl/>
        <w:suppressAutoHyphens w:val="0"/>
        <w:jc w:val="center"/>
        <w:rPr>
          <w:color w:val="auto"/>
          <w:szCs w:val="22"/>
          <w:lang w:eastAsia="ru-RU"/>
        </w:rPr>
      </w:pPr>
    </w:p>
    <w:p w:rsidR="00BD6DD1" w:rsidRDefault="00BD6DD1" w:rsidP="00BD6DD1">
      <w:pPr>
        <w:widowControl/>
        <w:suppressAutoHyphens w:val="0"/>
        <w:rPr>
          <w:color w:val="auto"/>
          <w:szCs w:val="22"/>
          <w:lang w:eastAsia="ru-RU"/>
        </w:rPr>
      </w:pPr>
      <w:r>
        <w:rPr>
          <w:color w:val="auto"/>
          <w:szCs w:val="22"/>
          <w:lang w:eastAsia="ru-RU"/>
        </w:rPr>
        <w:t xml:space="preserve">4.1. Инвентаризация расчетов проводится в соответствии с нормами Федерального закона от 06.12.2011 № 402-ФЗ «О бухгалтерском учете» (далее – Закон № 402-ФЗ), разделом VIII ФСБУ «Концептуальные основы». Порядок проведения инвентаризации имущества и обязательств </w:t>
      </w:r>
      <w:r>
        <w:rPr>
          <w:color w:val="auto"/>
          <w:szCs w:val="22"/>
          <w:lang w:eastAsia="ru-RU"/>
        </w:rPr>
        <w:lastRenderedPageBreak/>
        <w:t>утверждается при принятии учреждением учетной политики (ч. 3 ст. 11 Закона № 402-ФЗ, ФСБУ «Учетная политика, оценочные значения и ошибки» (утв. Приказом Минфина России от 30.12.2017 № 274н).</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Инвентаризационная комиссия определяет суммы кредиторской задолженности, по которым истекли сроки исковой давности, а также суммы задолженности, невостребованные кредиторами.</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4.2. Инвентаризация расчетов проводится в следующие этапы:</w:t>
      </w:r>
    </w:p>
    <w:p w:rsidR="00BD6DD1" w:rsidRDefault="00BD6DD1" w:rsidP="00BD6DD1">
      <w:pPr>
        <w:widowControl/>
        <w:suppressAutoHyphens w:val="0"/>
        <w:autoSpaceDE w:val="0"/>
        <w:autoSpaceDN w:val="0"/>
        <w:adjustRightInd w:val="0"/>
        <w:rPr>
          <w:color w:val="auto"/>
          <w:szCs w:val="22"/>
          <w:lang w:eastAsia="ru-RU"/>
        </w:rPr>
      </w:pPr>
      <w:r>
        <w:rPr>
          <w:b/>
          <w:color w:val="auto"/>
          <w:szCs w:val="22"/>
          <w:lang w:val="en-US" w:eastAsia="ru-RU"/>
        </w:rPr>
        <w:t>I</w:t>
      </w:r>
      <w:r>
        <w:rPr>
          <w:b/>
          <w:color w:val="auto"/>
          <w:szCs w:val="22"/>
          <w:lang w:eastAsia="ru-RU"/>
        </w:rPr>
        <w:t xml:space="preserve"> этап.</w:t>
      </w:r>
      <w:r>
        <w:rPr>
          <w:color w:val="auto"/>
          <w:szCs w:val="22"/>
          <w:lang w:eastAsia="ru-RU"/>
        </w:rPr>
        <w:t xml:space="preserve"> Оформление Решения о проведении инвентаризации (ф. 0510439) – применяется для оформления решения о проведении инвентаризации.</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Оформление Изменения решения о проведении инвентаризации (ф. 0510447) – применяется в случае, если до начала проведения субъектом учета инвентаризации следует оформить изменение в Решение о проведении инвентаризации (ф. 0510439) или его аннулировать.</w:t>
      </w:r>
    </w:p>
    <w:p w:rsidR="00BD6DD1" w:rsidRDefault="00BD6DD1" w:rsidP="00BD6DD1">
      <w:pPr>
        <w:widowControl/>
        <w:suppressAutoHyphens w:val="0"/>
        <w:autoSpaceDE w:val="0"/>
        <w:autoSpaceDN w:val="0"/>
        <w:adjustRightInd w:val="0"/>
        <w:rPr>
          <w:color w:val="auto"/>
          <w:szCs w:val="22"/>
          <w:lang w:eastAsia="ru-RU"/>
        </w:rPr>
      </w:pPr>
      <w:r>
        <w:rPr>
          <w:b/>
          <w:color w:val="auto"/>
          <w:szCs w:val="22"/>
          <w:lang w:val="en-US" w:eastAsia="ru-RU"/>
        </w:rPr>
        <w:t>II</w:t>
      </w:r>
      <w:r>
        <w:rPr>
          <w:b/>
          <w:color w:val="auto"/>
          <w:szCs w:val="22"/>
          <w:lang w:eastAsia="ru-RU"/>
        </w:rPr>
        <w:t xml:space="preserve"> этап.</w:t>
      </w:r>
      <w:r>
        <w:rPr>
          <w:color w:val="auto"/>
          <w:szCs w:val="22"/>
          <w:lang w:eastAsia="ru-RU"/>
        </w:rPr>
        <w:t xml:space="preserve"> Работа инвентаризационной комиссии по выявлению кредиторской задолженности, невостребованной кредиторами:</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анализ договоров, контрактов, заключенных с контрагентами, на предмет определения срока исполнения обязательства;</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анализ первичной документации: товарные накладные, акты выполненных работ (оказанных услуг) и др.;</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анализ документации (акты сверки расчетов, гарантийные письма и т. п.), отражающий факты признания либо непризнания учреждением задолженности перед контрагентом, что влечет прерывание срока исковой давности;</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расчет срока исковой давности;</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анализ соот</w:t>
      </w:r>
      <w:r>
        <w:rPr>
          <w:color w:val="auto"/>
          <w:szCs w:val="22"/>
          <w:lang w:eastAsia="ru-RU"/>
        </w:rPr>
        <w:softHyphen/>
        <w:t>ветствующих актов государственных органов, исполнительных листов и т. д.;</w:t>
      </w:r>
    </w:p>
    <w:p w:rsidR="00BD6DD1" w:rsidRDefault="00BD6DD1" w:rsidP="00BD6DD1">
      <w:pPr>
        <w:widowControl/>
        <w:numPr>
          <w:ilvl w:val="0"/>
          <w:numId w:val="6"/>
        </w:numPr>
        <w:suppressAutoHyphens w:val="0"/>
        <w:ind w:left="284" w:hanging="284"/>
        <w:rPr>
          <w:color w:val="auto"/>
          <w:szCs w:val="22"/>
          <w:lang w:eastAsia="ru-RU"/>
        </w:rPr>
      </w:pPr>
      <w:r>
        <w:rPr>
          <w:color w:val="auto"/>
          <w:szCs w:val="22"/>
          <w:lang w:eastAsia="ru-RU"/>
        </w:rPr>
        <w:t>иные действия по выявлению кредиторской задолженности, невостребованной кредиторами.</w:t>
      </w:r>
    </w:p>
    <w:p w:rsidR="00BD6DD1" w:rsidRDefault="00BD6DD1" w:rsidP="00BD6DD1">
      <w:pPr>
        <w:widowControl/>
        <w:suppressAutoHyphens w:val="0"/>
        <w:rPr>
          <w:color w:val="auto"/>
          <w:szCs w:val="22"/>
          <w:lang w:eastAsia="ru-RU"/>
        </w:rPr>
      </w:pPr>
      <w:r>
        <w:rPr>
          <w:color w:val="auto"/>
          <w:szCs w:val="22"/>
          <w:lang w:eastAsia="ru-RU"/>
        </w:rPr>
        <w:t xml:space="preserve">     В состав инвентаризационной комиссии обязательно включается представитель юридического отдела (службы). </w:t>
      </w:r>
    </w:p>
    <w:p w:rsidR="00BD6DD1" w:rsidRDefault="00BD6DD1" w:rsidP="00BD6DD1">
      <w:pPr>
        <w:widowControl/>
        <w:tabs>
          <w:tab w:val="left" w:pos="720"/>
        </w:tabs>
        <w:suppressAutoHyphens w:val="0"/>
        <w:rPr>
          <w:color w:val="auto"/>
          <w:szCs w:val="22"/>
          <w:lang w:eastAsia="ru-RU"/>
        </w:rPr>
      </w:pPr>
      <w:r>
        <w:rPr>
          <w:b/>
          <w:color w:val="auto"/>
          <w:szCs w:val="22"/>
          <w:lang w:val="en-US" w:eastAsia="ru-RU"/>
        </w:rPr>
        <w:t>III</w:t>
      </w:r>
      <w:r>
        <w:rPr>
          <w:b/>
          <w:color w:val="auto"/>
          <w:szCs w:val="22"/>
          <w:lang w:eastAsia="ru-RU"/>
        </w:rPr>
        <w:t xml:space="preserve"> этап.</w:t>
      </w:r>
      <w:r>
        <w:rPr>
          <w:color w:val="auto"/>
          <w:szCs w:val="22"/>
          <w:lang w:eastAsia="ru-RU"/>
        </w:rPr>
        <w:t xml:space="preserve"> Оформление результатов инвентаризации.</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По результатам инвентаризации расчетов для списания с баланса кредиторской задолженности, невостребованной кредиторами, необходимо оформить следующие документы:</w:t>
      </w:r>
    </w:p>
    <w:p w:rsidR="00BD6DD1" w:rsidRDefault="00BD6DD1" w:rsidP="00BD6DD1">
      <w:pPr>
        <w:widowControl/>
        <w:numPr>
          <w:ilvl w:val="0"/>
          <w:numId w:val="7"/>
        </w:numPr>
        <w:tabs>
          <w:tab w:val="num" w:pos="426"/>
        </w:tabs>
        <w:suppressAutoHyphens w:val="0"/>
        <w:autoSpaceDE w:val="0"/>
        <w:autoSpaceDN w:val="0"/>
        <w:adjustRightInd w:val="0"/>
        <w:ind w:left="426" w:hanging="426"/>
        <w:rPr>
          <w:color w:val="auto"/>
          <w:szCs w:val="22"/>
          <w:lang w:eastAsia="ru-RU"/>
        </w:rPr>
      </w:pPr>
      <w:r>
        <w:rPr>
          <w:color w:val="auto"/>
          <w:szCs w:val="22"/>
          <w:lang w:eastAsia="ru-RU"/>
        </w:rPr>
        <w:t xml:space="preserve">Инвентаризационная опись расчетов с покупателями, поставщиками и </w:t>
      </w:r>
      <w:proofErr w:type="gramStart"/>
      <w:r>
        <w:rPr>
          <w:color w:val="auto"/>
          <w:szCs w:val="22"/>
          <w:lang w:eastAsia="ru-RU"/>
        </w:rPr>
        <w:t>прочими дебиторами</w:t>
      </w:r>
      <w:proofErr w:type="gramEnd"/>
      <w:r>
        <w:rPr>
          <w:color w:val="auto"/>
          <w:szCs w:val="22"/>
          <w:lang w:eastAsia="ru-RU"/>
        </w:rPr>
        <w:t xml:space="preserve"> и кредиторами (ф.05</w:t>
      </w:r>
      <w:r w:rsidR="00FE52B2">
        <w:rPr>
          <w:color w:val="auto"/>
          <w:szCs w:val="22"/>
          <w:lang w:eastAsia="ru-RU"/>
        </w:rPr>
        <w:t>10469</w:t>
      </w:r>
      <w:r>
        <w:rPr>
          <w:color w:val="auto"/>
          <w:szCs w:val="22"/>
          <w:lang w:eastAsia="ru-RU"/>
        </w:rPr>
        <w:t xml:space="preserve"> согласно Приказу Минфина РФ № </w:t>
      </w:r>
      <w:r w:rsidR="00FE52B2">
        <w:rPr>
          <w:color w:val="auto"/>
          <w:szCs w:val="22"/>
          <w:lang w:eastAsia="ru-RU"/>
        </w:rPr>
        <w:t>61</w:t>
      </w:r>
      <w:r>
        <w:rPr>
          <w:color w:val="auto"/>
          <w:szCs w:val="22"/>
          <w:lang w:eastAsia="ru-RU"/>
        </w:rPr>
        <w:t>н).</w:t>
      </w: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К инвентаризационной описи расчетов прилагаются документы, подтверждающие возникновение кредиторской задолженности, </w:t>
      </w:r>
      <w:proofErr w:type="gramStart"/>
      <w:r>
        <w:rPr>
          <w:color w:val="auto"/>
          <w:szCs w:val="22"/>
          <w:lang w:eastAsia="ru-RU"/>
        </w:rPr>
        <w:t>например</w:t>
      </w:r>
      <w:proofErr w:type="gramEnd"/>
      <w:r>
        <w:rPr>
          <w:color w:val="auto"/>
          <w:szCs w:val="22"/>
          <w:lang w:eastAsia="ru-RU"/>
        </w:rPr>
        <w:t>:</w:t>
      </w:r>
    </w:p>
    <w:p w:rsidR="00BD6DD1" w:rsidRDefault="00BD6DD1" w:rsidP="00BD6DD1">
      <w:pPr>
        <w:widowControl/>
        <w:numPr>
          <w:ilvl w:val="0"/>
          <w:numId w:val="8"/>
        </w:numPr>
        <w:suppressAutoHyphens w:val="0"/>
        <w:autoSpaceDE w:val="0"/>
        <w:autoSpaceDN w:val="0"/>
        <w:adjustRightInd w:val="0"/>
        <w:ind w:left="284" w:hanging="284"/>
        <w:rPr>
          <w:color w:val="auto"/>
          <w:szCs w:val="22"/>
          <w:lang w:eastAsia="ru-RU"/>
        </w:rPr>
      </w:pPr>
      <w:r>
        <w:rPr>
          <w:color w:val="auto"/>
          <w:szCs w:val="22"/>
          <w:lang w:eastAsia="ru-RU"/>
        </w:rPr>
        <w:t>договоры, в которых указаны сроки погашения обязательств учреждением;</w:t>
      </w:r>
    </w:p>
    <w:p w:rsidR="00BD6DD1" w:rsidRDefault="00BD6DD1" w:rsidP="00BD6DD1">
      <w:pPr>
        <w:widowControl/>
        <w:numPr>
          <w:ilvl w:val="0"/>
          <w:numId w:val="8"/>
        </w:numPr>
        <w:suppressAutoHyphens w:val="0"/>
        <w:autoSpaceDE w:val="0"/>
        <w:autoSpaceDN w:val="0"/>
        <w:adjustRightInd w:val="0"/>
        <w:ind w:left="284" w:hanging="284"/>
        <w:rPr>
          <w:color w:val="auto"/>
          <w:szCs w:val="22"/>
          <w:lang w:eastAsia="ru-RU"/>
        </w:rPr>
      </w:pPr>
      <w:r>
        <w:rPr>
          <w:color w:val="auto"/>
          <w:szCs w:val="22"/>
          <w:lang w:eastAsia="ru-RU"/>
        </w:rPr>
        <w:t>товарные накладные;</w:t>
      </w:r>
    </w:p>
    <w:p w:rsidR="00BD6DD1" w:rsidRDefault="00BD6DD1" w:rsidP="00BD6DD1">
      <w:pPr>
        <w:widowControl/>
        <w:numPr>
          <w:ilvl w:val="0"/>
          <w:numId w:val="8"/>
        </w:numPr>
        <w:suppressAutoHyphens w:val="0"/>
        <w:autoSpaceDE w:val="0"/>
        <w:autoSpaceDN w:val="0"/>
        <w:adjustRightInd w:val="0"/>
        <w:ind w:left="284" w:hanging="284"/>
        <w:rPr>
          <w:color w:val="auto"/>
          <w:szCs w:val="22"/>
          <w:lang w:eastAsia="ru-RU"/>
        </w:rPr>
      </w:pPr>
      <w:r>
        <w:rPr>
          <w:color w:val="auto"/>
          <w:szCs w:val="22"/>
          <w:lang w:eastAsia="ru-RU"/>
        </w:rPr>
        <w:t>акты выполненных работ (оказанных услуг);</w:t>
      </w:r>
    </w:p>
    <w:p w:rsidR="00BD6DD1" w:rsidRDefault="00BD6DD1" w:rsidP="00BD6DD1">
      <w:pPr>
        <w:widowControl/>
        <w:numPr>
          <w:ilvl w:val="0"/>
          <w:numId w:val="8"/>
        </w:numPr>
        <w:suppressAutoHyphens w:val="0"/>
        <w:autoSpaceDE w:val="0"/>
        <w:autoSpaceDN w:val="0"/>
        <w:adjustRightInd w:val="0"/>
        <w:ind w:left="284" w:hanging="284"/>
        <w:rPr>
          <w:color w:val="auto"/>
          <w:szCs w:val="22"/>
          <w:lang w:eastAsia="ru-RU"/>
        </w:rPr>
      </w:pPr>
      <w:r>
        <w:rPr>
          <w:color w:val="auto"/>
          <w:szCs w:val="22"/>
          <w:lang w:eastAsia="ru-RU"/>
        </w:rPr>
        <w:t>акты инвентаризации задолженности на конец отчетного (налогового) периода;</w:t>
      </w:r>
    </w:p>
    <w:p w:rsidR="00BD6DD1" w:rsidRDefault="00BD6DD1" w:rsidP="00BD6DD1">
      <w:pPr>
        <w:widowControl/>
        <w:numPr>
          <w:ilvl w:val="0"/>
          <w:numId w:val="8"/>
        </w:numPr>
        <w:suppressAutoHyphens w:val="0"/>
        <w:autoSpaceDE w:val="0"/>
        <w:autoSpaceDN w:val="0"/>
        <w:adjustRightInd w:val="0"/>
        <w:ind w:left="284" w:hanging="284"/>
        <w:rPr>
          <w:color w:val="auto"/>
          <w:szCs w:val="22"/>
          <w:lang w:eastAsia="ru-RU"/>
        </w:rPr>
      </w:pPr>
      <w:r>
        <w:rPr>
          <w:color w:val="auto"/>
          <w:szCs w:val="22"/>
          <w:lang w:eastAsia="ru-RU"/>
        </w:rPr>
        <w:t>акты сверки расчетов, гарантийные письма, почтовые уведомления.</w:t>
      </w:r>
    </w:p>
    <w:p w:rsidR="00BD6DD1" w:rsidRDefault="00BD6DD1" w:rsidP="00BD6DD1">
      <w:pPr>
        <w:widowControl/>
        <w:suppressAutoHyphens w:val="0"/>
        <w:rPr>
          <w:color w:val="auto"/>
          <w:szCs w:val="22"/>
          <w:lang w:eastAsia="ru-RU"/>
        </w:rPr>
      </w:pPr>
      <w:r>
        <w:rPr>
          <w:color w:val="auto"/>
          <w:szCs w:val="22"/>
          <w:lang w:eastAsia="ru-RU"/>
        </w:rPr>
        <w:t>2. Акт о результатах инвентаризации (ф.05</w:t>
      </w:r>
      <w:r w:rsidR="00FE52B2">
        <w:rPr>
          <w:color w:val="auto"/>
          <w:szCs w:val="22"/>
          <w:lang w:eastAsia="ru-RU"/>
        </w:rPr>
        <w:t>10463</w:t>
      </w:r>
      <w:r>
        <w:rPr>
          <w:color w:val="auto"/>
          <w:szCs w:val="22"/>
          <w:lang w:eastAsia="ru-RU"/>
        </w:rPr>
        <w:t xml:space="preserve"> согласно Приказу Минфина РФ № </w:t>
      </w:r>
      <w:r w:rsidR="00FE52B2">
        <w:rPr>
          <w:color w:val="auto"/>
          <w:szCs w:val="22"/>
          <w:lang w:eastAsia="ru-RU"/>
        </w:rPr>
        <w:t>61</w:t>
      </w:r>
      <w:r>
        <w:rPr>
          <w:color w:val="auto"/>
          <w:szCs w:val="22"/>
          <w:lang w:eastAsia="ru-RU"/>
        </w:rPr>
        <w:t xml:space="preserve">н). </w:t>
      </w:r>
    </w:p>
    <w:p w:rsidR="00BD6DD1" w:rsidRDefault="00BD6DD1" w:rsidP="00BD6DD1">
      <w:pPr>
        <w:widowControl/>
        <w:suppressAutoHyphens w:val="0"/>
        <w:rPr>
          <w:color w:val="auto"/>
          <w:szCs w:val="22"/>
          <w:lang w:eastAsia="ru-RU"/>
        </w:rPr>
      </w:pPr>
      <w:r>
        <w:rPr>
          <w:color w:val="auto"/>
          <w:szCs w:val="22"/>
          <w:lang w:eastAsia="ru-RU"/>
        </w:rPr>
        <w:t>3. Согласие учредителя в случае признания сделки крупной.</w:t>
      </w:r>
    </w:p>
    <w:p w:rsidR="00BD6DD1" w:rsidRDefault="00BD6DD1" w:rsidP="00BD6DD1">
      <w:pPr>
        <w:widowControl/>
        <w:suppressAutoHyphens w:val="0"/>
        <w:rPr>
          <w:color w:val="auto"/>
          <w:szCs w:val="22"/>
          <w:lang w:eastAsia="ru-RU"/>
        </w:rPr>
      </w:pPr>
      <w:r>
        <w:rPr>
          <w:color w:val="auto"/>
          <w:szCs w:val="22"/>
          <w:lang w:eastAsia="ru-RU"/>
        </w:rPr>
        <w:t>4. Решение о списании задолженности, невостребованной кредиторами, со счета (ф. 0510437) – применяется для оформления комиссией субъекта учета решения о списании невостребованной в срок (просроченной и (или) неподтвержденной по результатам инвентаризации) кредиторской задолженности по выплатам расходов (источников финансирования дефицита бюджета, источников финансирования дефицита средств учреждений, возвратам переплат доходов (источников финансирования дефицита), выявленной по результатам проведения субъектом учета инвентаризации кредиторской задолженности.</w:t>
      </w:r>
    </w:p>
    <w:p w:rsidR="00BD6DD1" w:rsidRDefault="00BD6DD1" w:rsidP="00BD6DD1">
      <w:pPr>
        <w:widowControl/>
        <w:suppressAutoHyphens w:val="0"/>
        <w:autoSpaceDE w:val="0"/>
        <w:autoSpaceDN w:val="0"/>
        <w:adjustRightInd w:val="0"/>
        <w:ind w:left="360"/>
        <w:rPr>
          <w:color w:val="auto"/>
          <w:szCs w:val="22"/>
          <w:lang w:eastAsia="ru-RU"/>
        </w:rPr>
      </w:pPr>
    </w:p>
    <w:p w:rsidR="00BD6DD1" w:rsidRDefault="00BD6DD1" w:rsidP="00BD6DD1">
      <w:pPr>
        <w:widowControl/>
        <w:suppressAutoHyphens w:val="0"/>
        <w:ind w:left="360"/>
        <w:jc w:val="center"/>
        <w:rPr>
          <w:b/>
          <w:color w:val="auto"/>
          <w:szCs w:val="22"/>
          <w:lang w:eastAsia="ru-RU"/>
        </w:rPr>
      </w:pPr>
      <w:r>
        <w:rPr>
          <w:b/>
          <w:color w:val="auto"/>
          <w:szCs w:val="22"/>
          <w:lang w:eastAsia="ru-RU"/>
        </w:rPr>
        <w:t>5. Отражение операций по списанию кредиторской задолженности, невостребованной кредиторами, в бухгалтерском учете учреждения</w:t>
      </w:r>
    </w:p>
    <w:p w:rsidR="00BD6DD1" w:rsidRDefault="00BD6DD1" w:rsidP="00BD6DD1">
      <w:pPr>
        <w:widowControl/>
        <w:suppressAutoHyphens w:val="0"/>
        <w:ind w:left="360"/>
        <w:jc w:val="center"/>
        <w:rPr>
          <w:b/>
          <w:i/>
          <w:color w:val="auto"/>
          <w:szCs w:val="22"/>
          <w:lang w:eastAsia="ru-RU"/>
        </w:rPr>
      </w:pPr>
    </w:p>
    <w:p w:rsidR="00BD6DD1" w:rsidRDefault="00BD6DD1" w:rsidP="00BD6DD1">
      <w:pPr>
        <w:widowControl/>
        <w:suppressAutoHyphens w:val="0"/>
        <w:rPr>
          <w:color w:val="auto"/>
          <w:szCs w:val="22"/>
          <w:lang w:eastAsia="ru-RU"/>
        </w:rPr>
      </w:pPr>
      <w:r>
        <w:rPr>
          <w:color w:val="auto"/>
          <w:szCs w:val="22"/>
          <w:lang w:eastAsia="ru-RU"/>
        </w:rPr>
        <w:t xml:space="preserve">     На основании оформленных документов в целях отражения операций по списанию кредиторской задолженности, невостребованной кредиторами, оформляются следующие записи на счетах бухгалтерского учета.</w:t>
      </w:r>
    </w:p>
    <w:tbl>
      <w:tblPr>
        <w:tblW w:w="0" w:type="dxa"/>
        <w:tblCellSpacing w:w="0" w:type="dxa"/>
        <w:tblBorders>
          <w:top w:val="single" w:sz="6" w:space="0" w:color="FFD700"/>
          <w:right w:val="single" w:sz="6" w:space="0" w:color="FFD700"/>
        </w:tblBorders>
        <w:tblLayout w:type="fixed"/>
        <w:tblCellMar>
          <w:top w:w="75" w:type="dxa"/>
          <w:left w:w="75" w:type="dxa"/>
          <w:bottom w:w="75" w:type="dxa"/>
          <w:right w:w="75" w:type="dxa"/>
        </w:tblCellMar>
        <w:tblLook w:val="04A0" w:firstRow="1" w:lastRow="0" w:firstColumn="1" w:lastColumn="0" w:noHBand="0" w:noVBand="1"/>
      </w:tblPr>
      <w:tblGrid>
        <w:gridCol w:w="1429"/>
        <w:gridCol w:w="2063"/>
        <w:gridCol w:w="1276"/>
        <w:gridCol w:w="2693"/>
        <w:gridCol w:w="2835"/>
      </w:tblGrid>
      <w:tr w:rsidR="00BD6DD1" w:rsidTr="00BD6DD1">
        <w:trPr>
          <w:tblCellSpacing w:w="0" w:type="dxa"/>
        </w:trPr>
        <w:tc>
          <w:tcPr>
            <w:tcW w:w="1429" w:type="dxa"/>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Содержание операции</w:t>
            </w:r>
          </w:p>
        </w:tc>
        <w:tc>
          <w:tcPr>
            <w:tcW w:w="3339" w:type="dxa"/>
            <w:gridSpan w:val="2"/>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Бухгалтерская запись</w:t>
            </w:r>
          </w:p>
        </w:tc>
        <w:tc>
          <w:tcPr>
            <w:tcW w:w="2693" w:type="dxa"/>
            <w:vMerge w:val="restart"/>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Документ /Операция</w:t>
            </w:r>
          </w:p>
        </w:tc>
        <w:tc>
          <w:tcPr>
            <w:tcW w:w="2835" w:type="dxa"/>
            <w:vMerge w:val="restart"/>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Первичный документ</w:t>
            </w:r>
          </w:p>
        </w:tc>
      </w:tr>
      <w:tr w:rsidR="00BD6DD1" w:rsidTr="00BD6DD1">
        <w:trPr>
          <w:tblCellSpacing w:w="0" w:type="dxa"/>
        </w:trPr>
        <w:tc>
          <w:tcPr>
            <w:tcW w:w="1429" w:type="dxa"/>
            <w:tcBorders>
              <w:top w:val="nil"/>
              <w:left w:val="single" w:sz="6" w:space="0" w:color="FFD700"/>
              <w:bottom w:val="single" w:sz="6" w:space="0" w:color="FFD700"/>
              <w:right w:val="nil"/>
            </w:tcBorders>
            <w:vAlign w:val="center"/>
          </w:tcPr>
          <w:p w:rsidR="00BD6DD1" w:rsidRDefault="00BD6DD1">
            <w:pPr>
              <w:widowControl/>
              <w:suppressAutoHyphens w:val="0"/>
              <w:jc w:val="left"/>
              <w:rPr>
                <w:b/>
                <w:bCs/>
                <w:color w:val="auto"/>
                <w:sz w:val="16"/>
                <w:szCs w:val="16"/>
                <w:lang w:eastAsia="ru-RU"/>
              </w:rPr>
            </w:pPr>
          </w:p>
        </w:tc>
        <w:tc>
          <w:tcPr>
            <w:tcW w:w="2063" w:type="dxa"/>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Дебет</w:t>
            </w:r>
          </w:p>
        </w:tc>
        <w:tc>
          <w:tcPr>
            <w:tcW w:w="1276" w:type="dxa"/>
            <w:tcBorders>
              <w:top w:val="nil"/>
              <w:left w:val="single" w:sz="6" w:space="0" w:color="FFD700"/>
              <w:bottom w:val="single" w:sz="6" w:space="0" w:color="FFD700"/>
              <w:right w:val="nil"/>
            </w:tcBorders>
            <w:shd w:val="clear" w:color="auto" w:fill="FFFFEE"/>
            <w:vAlign w:val="center"/>
            <w:hideMark/>
          </w:tcPr>
          <w:p w:rsidR="00BD6DD1" w:rsidRDefault="00BD6DD1">
            <w:pPr>
              <w:widowControl/>
              <w:suppressAutoHyphens w:val="0"/>
              <w:spacing w:before="100" w:beforeAutospacing="1" w:after="100" w:afterAutospacing="1"/>
              <w:jc w:val="center"/>
              <w:rPr>
                <w:b/>
                <w:bCs/>
                <w:color w:val="auto"/>
                <w:sz w:val="16"/>
                <w:szCs w:val="16"/>
                <w:lang w:eastAsia="ru-RU"/>
              </w:rPr>
            </w:pPr>
            <w:r>
              <w:rPr>
                <w:b/>
                <w:bCs/>
                <w:color w:val="auto"/>
                <w:sz w:val="16"/>
                <w:szCs w:val="16"/>
                <w:lang w:eastAsia="ru-RU"/>
              </w:rPr>
              <w:t>Кредит</w:t>
            </w:r>
          </w:p>
        </w:tc>
        <w:tc>
          <w:tcPr>
            <w:tcW w:w="2693"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b/>
                <w:bCs/>
                <w:color w:val="auto"/>
                <w:sz w:val="16"/>
                <w:szCs w:val="16"/>
                <w:lang w:eastAsia="ru-RU"/>
              </w:rPr>
            </w:pPr>
          </w:p>
        </w:tc>
        <w:tc>
          <w:tcPr>
            <w:tcW w:w="2835"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b/>
                <w:bCs/>
                <w:color w:val="auto"/>
                <w:sz w:val="16"/>
                <w:szCs w:val="16"/>
                <w:lang w:eastAsia="ru-RU"/>
              </w:rPr>
            </w:pPr>
          </w:p>
        </w:tc>
      </w:tr>
      <w:tr w:rsidR="00BD6DD1" w:rsidTr="00BD6DD1">
        <w:trPr>
          <w:tblCellSpacing w:w="0" w:type="dxa"/>
        </w:trPr>
        <w:tc>
          <w:tcPr>
            <w:tcW w:w="10296" w:type="dxa"/>
            <w:gridSpan w:val="5"/>
            <w:tcBorders>
              <w:top w:val="nil"/>
              <w:left w:val="single" w:sz="6" w:space="0" w:color="FFD700"/>
              <w:bottom w:val="single" w:sz="6" w:space="0" w:color="FFD700"/>
              <w:right w:val="nil"/>
            </w:tcBorders>
            <w:vAlign w:val="center"/>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lang w:eastAsia="ru-RU"/>
              </w:rPr>
              <w:lastRenderedPageBreak/>
              <w:t>Списание кредиторской задолженности, невостребованной кредиторами</w:t>
            </w:r>
          </w:p>
        </w:tc>
      </w:tr>
      <w:tr w:rsidR="00BD6DD1" w:rsidTr="00BD6DD1">
        <w:trPr>
          <w:tblCellSpacing w:w="0" w:type="dxa"/>
        </w:trPr>
        <w:tc>
          <w:tcPr>
            <w:tcW w:w="1429"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bookmarkStart w:id="0" w:name="oper_1"/>
            <w:bookmarkEnd w:id="0"/>
            <w:r>
              <w:rPr>
                <w:color w:val="auto"/>
                <w:sz w:val="16"/>
                <w:szCs w:val="16"/>
                <w:lang w:eastAsia="ru-RU"/>
              </w:rPr>
              <w:t>1. </w:t>
            </w:r>
            <w:hyperlink r:id="rId7" w:anchor="_toc106623459" w:history="1">
              <w:r>
                <w:rPr>
                  <w:rStyle w:val="a3"/>
                  <w:color w:val="CC0000"/>
                  <w:sz w:val="16"/>
                  <w:szCs w:val="16"/>
                  <w:lang w:eastAsia="ru-RU"/>
                </w:rPr>
                <w:t>Списание с баланса кредиторской задолженности, невостребованной кредиторами</w:t>
              </w:r>
            </w:hyperlink>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0 205 00 560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0 209 00 560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0 208 00 567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0 301 00 800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0 302 00 830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0 303 00 831</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02 837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03 837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0 304 06 830</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0 401 10 173</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 </w:t>
            </w:r>
          </w:p>
        </w:tc>
        <w:tc>
          <w:tcPr>
            <w:tcW w:w="2693" w:type="dxa"/>
            <w:vMerge w:val="restart"/>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инвентаризации:</w:t>
            </w:r>
          </w:p>
          <w:p w:rsidR="00BD6DD1" w:rsidRDefault="00BD6DD1">
            <w:pPr>
              <w:widowControl/>
              <w:numPr>
                <w:ilvl w:val="0"/>
                <w:numId w:val="9"/>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Решение о проведении инвентаризации</w:t>
            </w:r>
          </w:p>
          <w:p w:rsidR="00BD6DD1" w:rsidRDefault="00BD6DD1">
            <w:pPr>
              <w:widowControl/>
              <w:numPr>
                <w:ilvl w:val="0"/>
                <w:numId w:val="9"/>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Изменение решения о проведении инвентаризации</w:t>
            </w:r>
            <w:r>
              <w:rPr>
                <w:color w:val="auto"/>
                <w:sz w:val="16"/>
                <w:szCs w:val="16"/>
                <w:lang w:eastAsia="ru-RU"/>
              </w:rPr>
              <w:t> (в случае внесения изменений в существующее решение о проведении инвентаризации)</w:t>
            </w:r>
          </w:p>
          <w:p w:rsidR="00BD6DD1" w:rsidRDefault="00BD6DD1">
            <w:pPr>
              <w:widowControl/>
              <w:numPr>
                <w:ilvl w:val="0"/>
                <w:numId w:val="9"/>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proofErr w:type="spellStart"/>
            <w:proofErr w:type="gramStart"/>
            <w:r>
              <w:rPr>
                <w:b/>
                <w:bCs/>
                <w:color w:val="auto"/>
                <w:sz w:val="16"/>
                <w:szCs w:val="16"/>
                <w:lang w:eastAsia="ru-RU"/>
              </w:rPr>
              <w:t>Инвентариза-ция</w:t>
            </w:r>
            <w:proofErr w:type="spellEnd"/>
            <w:proofErr w:type="gramEnd"/>
            <w:r>
              <w:rPr>
                <w:b/>
                <w:bCs/>
                <w:color w:val="auto"/>
                <w:sz w:val="16"/>
                <w:szCs w:val="16"/>
                <w:lang w:eastAsia="ru-RU"/>
              </w:rPr>
              <w:t xml:space="preserve"> расчетов с контрагентами</w:t>
            </w:r>
          </w:p>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бух. записей:</w:t>
            </w:r>
          </w:p>
          <w:p w:rsidR="00BD6DD1" w:rsidRDefault="00BD6DD1">
            <w:pPr>
              <w:widowControl/>
              <w:numPr>
                <w:ilvl w:val="0"/>
                <w:numId w:val="10"/>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Списание кредиторской задолженности</w:t>
            </w:r>
            <w:r>
              <w:rPr>
                <w:color w:val="auto"/>
                <w:sz w:val="16"/>
                <w:szCs w:val="16"/>
                <w:lang w:eastAsia="ru-RU"/>
              </w:rPr>
              <w:t>, типовая операция </w:t>
            </w:r>
            <w:r>
              <w:rPr>
                <w:b/>
                <w:bCs/>
                <w:color w:val="auto"/>
                <w:sz w:val="16"/>
                <w:szCs w:val="16"/>
                <w:lang w:eastAsia="ru-RU"/>
              </w:rPr>
              <w:t>Списание кредиторской задолженности с последующим наблюдением</w:t>
            </w:r>
          </w:p>
        </w:tc>
        <w:tc>
          <w:tcPr>
            <w:tcW w:w="2835" w:type="dxa"/>
            <w:vMerge w:val="restart"/>
            <w:tcBorders>
              <w:top w:val="nil"/>
              <w:left w:val="single" w:sz="6" w:space="0" w:color="FFD700"/>
              <w:bottom w:val="single" w:sz="6" w:space="0" w:color="FFD700"/>
              <w:right w:val="nil"/>
            </w:tcBorders>
            <w:hideMark/>
          </w:tcPr>
          <w:p w:rsidR="00BD6DD1" w:rsidRDefault="00BD6DD1">
            <w:pPr>
              <w:widowControl/>
              <w:numPr>
                <w:ilvl w:val="0"/>
                <w:numId w:val="11"/>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проведении инвентаризации (ф. </w:t>
            </w:r>
            <w:hyperlink r:id="rId8" w:tgtFrame="_top" w:history="1">
              <w:r>
                <w:rPr>
                  <w:rStyle w:val="a3"/>
                  <w:color w:val="CC0000"/>
                  <w:sz w:val="16"/>
                  <w:szCs w:val="16"/>
                  <w:lang w:eastAsia="ru-RU"/>
                </w:rPr>
                <w:t>0510439</w:t>
              </w:r>
            </w:hyperlink>
            <w:r>
              <w:rPr>
                <w:color w:val="auto"/>
                <w:sz w:val="16"/>
                <w:szCs w:val="16"/>
                <w:lang w:eastAsia="ru-RU"/>
              </w:rPr>
              <w:t>) или Изменение решения о проведении инвентаризации (ф. </w:t>
            </w:r>
            <w:hyperlink r:id="rId9" w:tgtFrame="_top" w:history="1">
              <w:r>
                <w:rPr>
                  <w:rStyle w:val="a3"/>
                  <w:color w:val="CC0000"/>
                  <w:sz w:val="16"/>
                  <w:szCs w:val="16"/>
                  <w:lang w:eastAsia="ru-RU"/>
                </w:rPr>
                <w:t>0510447</w:t>
              </w:r>
            </w:hyperlink>
            <w:r>
              <w:rPr>
                <w:color w:val="auto"/>
                <w:sz w:val="16"/>
                <w:szCs w:val="16"/>
                <w:lang w:eastAsia="ru-RU"/>
              </w:rPr>
              <w:t>)</w:t>
            </w:r>
          </w:p>
          <w:p w:rsidR="00BD6DD1" w:rsidRDefault="00BD6DD1">
            <w:pPr>
              <w:widowControl/>
              <w:numPr>
                <w:ilvl w:val="0"/>
                <w:numId w:val="11"/>
              </w:numPr>
              <w:suppressAutoHyphens w:val="0"/>
              <w:spacing w:before="100" w:beforeAutospacing="1" w:after="100" w:afterAutospacing="1"/>
              <w:jc w:val="left"/>
              <w:rPr>
                <w:color w:val="auto"/>
                <w:sz w:val="16"/>
                <w:szCs w:val="16"/>
                <w:lang w:eastAsia="ru-RU"/>
              </w:rPr>
            </w:pPr>
            <w:r>
              <w:rPr>
                <w:color w:val="auto"/>
                <w:sz w:val="16"/>
                <w:szCs w:val="16"/>
                <w:lang w:eastAsia="ru-RU"/>
              </w:rPr>
              <w:t xml:space="preserve">Инвентаризационная опись расчетов с покупателями, поставщиками и </w:t>
            </w:r>
            <w:proofErr w:type="gramStart"/>
            <w:r>
              <w:rPr>
                <w:color w:val="auto"/>
                <w:sz w:val="16"/>
                <w:szCs w:val="16"/>
                <w:lang w:eastAsia="ru-RU"/>
              </w:rPr>
              <w:t>прочими дебиторами</w:t>
            </w:r>
            <w:proofErr w:type="gramEnd"/>
            <w:r>
              <w:rPr>
                <w:color w:val="auto"/>
                <w:sz w:val="16"/>
                <w:szCs w:val="16"/>
                <w:lang w:eastAsia="ru-RU"/>
              </w:rPr>
              <w:t xml:space="preserve"> и кредиторами (ф. </w:t>
            </w:r>
            <w:hyperlink r:id="rId10" w:tgtFrame="_top" w:history="1">
              <w:r>
                <w:rPr>
                  <w:rStyle w:val="a3"/>
                  <w:color w:val="CC0000"/>
                  <w:sz w:val="16"/>
                  <w:szCs w:val="16"/>
                  <w:lang w:eastAsia="ru-RU"/>
                </w:rPr>
                <w:t>05</w:t>
              </w:r>
            </w:hyperlink>
            <w:r w:rsidR="00FE52B2">
              <w:rPr>
                <w:rStyle w:val="a3"/>
                <w:color w:val="CC0000"/>
                <w:sz w:val="16"/>
                <w:szCs w:val="16"/>
                <w:lang w:eastAsia="ru-RU"/>
              </w:rPr>
              <w:t>10469</w:t>
            </w:r>
            <w:r>
              <w:rPr>
                <w:color w:val="auto"/>
                <w:sz w:val="16"/>
                <w:szCs w:val="16"/>
                <w:lang w:eastAsia="ru-RU"/>
              </w:rPr>
              <w:t>)</w:t>
            </w:r>
          </w:p>
          <w:p w:rsidR="00BD6DD1" w:rsidRDefault="00BD6DD1">
            <w:pPr>
              <w:widowControl/>
              <w:numPr>
                <w:ilvl w:val="0"/>
                <w:numId w:val="11"/>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списании задолженности, невостребованной кредиторами, со счета __ (ф. </w:t>
            </w:r>
            <w:hyperlink r:id="rId11" w:tgtFrame="_top" w:history="1">
              <w:r>
                <w:rPr>
                  <w:rStyle w:val="a3"/>
                  <w:color w:val="CC0000"/>
                  <w:sz w:val="16"/>
                  <w:szCs w:val="16"/>
                  <w:lang w:eastAsia="ru-RU"/>
                </w:rPr>
                <w:t>0510437</w:t>
              </w:r>
            </w:hyperlink>
            <w:r>
              <w:rPr>
                <w:color w:val="auto"/>
                <w:sz w:val="16"/>
                <w:szCs w:val="16"/>
                <w:lang w:eastAsia="ru-RU"/>
              </w:rPr>
              <w:t>),</w:t>
            </w:r>
          </w:p>
          <w:p w:rsidR="00BD6DD1" w:rsidRDefault="00BD6DD1">
            <w:pPr>
              <w:widowControl/>
              <w:numPr>
                <w:ilvl w:val="0"/>
                <w:numId w:val="11"/>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Документы, подтверждающие основания для признания задолженности, невостребованной кредитором: договоры на поставку товаров, контракты на выполнение работ, оказание услуг, накладные, акты выполненных работ, оказания услуг, трудовые договоры и пр.</w:t>
            </w:r>
          </w:p>
        </w:tc>
      </w:tr>
      <w:tr w:rsidR="00BD6DD1" w:rsidTr="00BD6DD1">
        <w:trPr>
          <w:tblCellSpacing w:w="0" w:type="dxa"/>
        </w:trPr>
        <w:tc>
          <w:tcPr>
            <w:tcW w:w="1429"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 xml:space="preserve">Одновременно невостребованная кредиторская задолженность принимается к </w:t>
            </w:r>
            <w:proofErr w:type="spellStart"/>
            <w:r>
              <w:rPr>
                <w:color w:val="auto"/>
                <w:sz w:val="16"/>
                <w:szCs w:val="16"/>
                <w:lang w:eastAsia="ru-RU"/>
              </w:rPr>
              <w:t>забалансовому</w:t>
            </w:r>
            <w:proofErr w:type="spellEnd"/>
            <w:r>
              <w:rPr>
                <w:color w:val="auto"/>
                <w:sz w:val="16"/>
                <w:szCs w:val="16"/>
                <w:lang w:eastAsia="ru-RU"/>
              </w:rPr>
              <w:t xml:space="preserve"> учету для наблюдения до истечения срока исковой давности</w:t>
            </w:r>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20 (КДБ, КРБ КОСГУ 100, 200, 300 </w:t>
            </w:r>
            <w:hyperlink r:id="rId12" w:anchor="st_3" w:history="1">
              <w:r>
                <w:rPr>
                  <w:rStyle w:val="a3"/>
                  <w:color w:val="CC0000"/>
                  <w:sz w:val="16"/>
                  <w:szCs w:val="16"/>
                  <w:lang w:eastAsia="ru-RU"/>
                </w:rPr>
                <w:t>***</w:t>
              </w:r>
            </w:hyperlink>
            <w:r>
              <w:rPr>
                <w:color w:val="auto"/>
                <w:sz w:val="16"/>
                <w:szCs w:val="16"/>
                <w:lang w:eastAsia="ru-RU"/>
              </w:rPr>
              <w:t>)</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center"/>
              <w:rPr>
                <w:color w:val="auto"/>
                <w:sz w:val="16"/>
                <w:szCs w:val="16"/>
                <w:lang w:eastAsia="ru-RU"/>
              </w:rPr>
            </w:pPr>
            <w:r>
              <w:rPr>
                <w:color w:val="auto"/>
                <w:sz w:val="16"/>
                <w:szCs w:val="16"/>
                <w:lang w:eastAsia="ru-RU"/>
              </w:rPr>
              <w:t> </w:t>
            </w:r>
          </w:p>
        </w:tc>
        <w:tc>
          <w:tcPr>
            <w:tcW w:w="2693"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c>
          <w:tcPr>
            <w:tcW w:w="2835"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r>
      <w:tr w:rsidR="00BD6DD1" w:rsidTr="00BD6DD1">
        <w:trPr>
          <w:tblCellSpacing w:w="0" w:type="dxa"/>
        </w:trPr>
        <w:tc>
          <w:tcPr>
            <w:tcW w:w="1429"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bookmarkStart w:id="1" w:name="oper_2"/>
            <w:bookmarkEnd w:id="1"/>
            <w:r>
              <w:rPr>
                <w:color w:val="auto"/>
                <w:sz w:val="16"/>
                <w:szCs w:val="16"/>
                <w:lang w:eastAsia="ru-RU"/>
              </w:rPr>
              <w:t>2. </w:t>
            </w:r>
            <w:hyperlink r:id="rId13" w:anchor="_toc106623463" w:history="1">
              <w:r>
                <w:rPr>
                  <w:rStyle w:val="a3"/>
                  <w:color w:val="CC0000"/>
                  <w:sz w:val="16"/>
                  <w:szCs w:val="16"/>
                  <w:lang w:eastAsia="ru-RU"/>
                </w:rPr>
                <w:t>Списание с баланса кредиторской задолженности, невостребованной кредиторам, без последующего наблюдения</w:t>
              </w:r>
            </w:hyperlink>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0 205 00 560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0 209 00 560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0 208 00 567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0 301 00 800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0 302 00 830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0 303 00 831</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02 837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03 837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0 304 06 830</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0 401 10 173</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 </w:t>
            </w:r>
          </w:p>
        </w:tc>
        <w:tc>
          <w:tcPr>
            <w:tcW w:w="269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инвентаризации:</w:t>
            </w:r>
          </w:p>
          <w:p w:rsidR="00BD6DD1" w:rsidRDefault="00BD6DD1">
            <w:pPr>
              <w:widowControl/>
              <w:numPr>
                <w:ilvl w:val="0"/>
                <w:numId w:val="12"/>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Решение о проведении инвентаризации</w:t>
            </w:r>
          </w:p>
          <w:p w:rsidR="00BD6DD1" w:rsidRDefault="00BD6DD1">
            <w:pPr>
              <w:widowControl/>
              <w:numPr>
                <w:ilvl w:val="0"/>
                <w:numId w:val="12"/>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Изменение решения о проведении инвентаризации</w:t>
            </w:r>
            <w:r>
              <w:rPr>
                <w:color w:val="auto"/>
                <w:sz w:val="16"/>
                <w:szCs w:val="16"/>
                <w:lang w:eastAsia="ru-RU"/>
              </w:rPr>
              <w:t> (в случае внесения изменений в существующее решение о проведении инвентаризации)</w:t>
            </w:r>
          </w:p>
          <w:p w:rsidR="00BD6DD1" w:rsidRDefault="00BD6DD1">
            <w:pPr>
              <w:widowControl/>
              <w:numPr>
                <w:ilvl w:val="0"/>
                <w:numId w:val="12"/>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proofErr w:type="spellStart"/>
            <w:proofErr w:type="gramStart"/>
            <w:r>
              <w:rPr>
                <w:b/>
                <w:bCs/>
                <w:color w:val="auto"/>
                <w:sz w:val="16"/>
                <w:szCs w:val="16"/>
                <w:lang w:eastAsia="ru-RU"/>
              </w:rPr>
              <w:t>Инвентариза-ция</w:t>
            </w:r>
            <w:proofErr w:type="spellEnd"/>
            <w:proofErr w:type="gramEnd"/>
            <w:r>
              <w:rPr>
                <w:b/>
                <w:bCs/>
                <w:color w:val="auto"/>
                <w:sz w:val="16"/>
                <w:szCs w:val="16"/>
                <w:lang w:eastAsia="ru-RU"/>
              </w:rPr>
              <w:t xml:space="preserve"> расчетов с контрагентами</w:t>
            </w:r>
          </w:p>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бух. записей:</w:t>
            </w:r>
          </w:p>
          <w:p w:rsidR="00BD6DD1" w:rsidRDefault="00BD6DD1">
            <w:pPr>
              <w:widowControl/>
              <w:numPr>
                <w:ilvl w:val="0"/>
                <w:numId w:val="13"/>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Списание кредиторской задолженности</w:t>
            </w:r>
            <w:r>
              <w:rPr>
                <w:color w:val="auto"/>
                <w:sz w:val="16"/>
                <w:szCs w:val="16"/>
                <w:lang w:eastAsia="ru-RU"/>
              </w:rPr>
              <w:t>, типовая операция </w:t>
            </w:r>
            <w:r>
              <w:rPr>
                <w:b/>
                <w:bCs/>
                <w:color w:val="auto"/>
                <w:sz w:val="16"/>
                <w:szCs w:val="16"/>
                <w:lang w:eastAsia="ru-RU"/>
              </w:rPr>
              <w:t>Списание кредиторской задолженности без последующего наблюдения</w:t>
            </w:r>
          </w:p>
        </w:tc>
        <w:tc>
          <w:tcPr>
            <w:tcW w:w="2835" w:type="dxa"/>
            <w:tcBorders>
              <w:top w:val="nil"/>
              <w:left w:val="single" w:sz="6" w:space="0" w:color="FFD700"/>
              <w:bottom w:val="single" w:sz="6" w:space="0" w:color="FFD700"/>
              <w:right w:val="nil"/>
            </w:tcBorders>
            <w:hideMark/>
          </w:tcPr>
          <w:p w:rsidR="00BD6DD1" w:rsidRDefault="00BD6DD1">
            <w:pPr>
              <w:widowControl/>
              <w:numPr>
                <w:ilvl w:val="0"/>
                <w:numId w:val="14"/>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проведении инвентаризации (ф. </w:t>
            </w:r>
            <w:hyperlink r:id="rId14" w:tgtFrame="_top" w:history="1">
              <w:r>
                <w:rPr>
                  <w:rStyle w:val="a3"/>
                  <w:color w:val="CC0000"/>
                  <w:sz w:val="16"/>
                  <w:szCs w:val="16"/>
                  <w:lang w:eastAsia="ru-RU"/>
                </w:rPr>
                <w:t>0510439</w:t>
              </w:r>
            </w:hyperlink>
            <w:r>
              <w:rPr>
                <w:color w:val="auto"/>
                <w:sz w:val="16"/>
                <w:szCs w:val="16"/>
                <w:lang w:eastAsia="ru-RU"/>
              </w:rPr>
              <w:t>) или Изменение решения о проведении инвентаризации (ф. </w:t>
            </w:r>
            <w:hyperlink r:id="rId15" w:tgtFrame="_top" w:history="1">
              <w:r>
                <w:rPr>
                  <w:rStyle w:val="a3"/>
                  <w:color w:val="CC0000"/>
                  <w:sz w:val="16"/>
                  <w:szCs w:val="16"/>
                  <w:lang w:eastAsia="ru-RU"/>
                </w:rPr>
                <w:t>0510447</w:t>
              </w:r>
            </w:hyperlink>
            <w:r>
              <w:rPr>
                <w:color w:val="auto"/>
                <w:sz w:val="16"/>
                <w:szCs w:val="16"/>
                <w:lang w:eastAsia="ru-RU"/>
              </w:rPr>
              <w:t>)</w:t>
            </w:r>
          </w:p>
          <w:p w:rsidR="00BD6DD1" w:rsidRDefault="00BD6DD1">
            <w:pPr>
              <w:widowControl/>
              <w:numPr>
                <w:ilvl w:val="0"/>
                <w:numId w:val="14"/>
              </w:numPr>
              <w:suppressAutoHyphens w:val="0"/>
              <w:spacing w:before="100" w:beforeAutospacing="1" w:after="100" w:afterAutospacing="1"/>
              <w:jc w:val="left"/>
              <w:rPr>
                <w:color w:val="auto"/>
                <w:sz w:val="16"/>
                <w:szCs w:val="16"/>
                <w:lang w:eastAsia="ru-RU"/>
              </w:rPr>
            </w:pPr>
            <w:r>
              <w:rPr>
                <w:color w:val="auto"/>
                <w:sz w:val="16"/>
                <w:szCs w:val="16"/>
                <w:lang w:eastAsia="ru-RU"/>
              </w:rPr>
              <w:t xml:space="preserve">Инвентаризационная опись расчетов с покупателями, поставщиками и </w:t>
            </w:r>
            <w:proofErr w:type="gramStart"/>
            <w:r>
              <w:rPr>
                <w:color w:val="auto"/>
                <w:sz w:val="16"/>
                <w:szCs w:val="16"/>
                <w:lang w:eastAsia="ru-RU"/>
              </w:rPr>
              <w:t>прочими дебиторами</w:t>
            </w:r>
            <w:proofErr w:type="gramEnd"/>
            <w:r>
              <w:rPr>
                <w:color w:val="auto"/>
                <w:sz w:val="16"/>
                <w:szCs w:val="16"/>
                <w:lang w:eastAsia="ru-RU"/>
              </w:rPr>
              <w:t xml:space="preserve"> и кредиторами (ф. </w:t>
            </w:r>
            <w:hyperlink r:id="rId16" w:tgtFrame="_top" w:history="1">
              <w:r>
                <w:rPr>
                  <w:rStyle w:val="a3"/>
                  <w:color w:val="CC0000"/>
                  <w:sz w:val="16"/>
                  <w:szCs w:val="16"/>
                  <w:lang w:eastAsia="ru-RU"/>
                </w:rPr>
                <w:t>05</w:t>
              </w:r>
            </w:hyperlink>
            <w:r w:rsidR="00FE52B2">
              <w:rPr>
                <w:rStyle w:val="a3"/>
                <w:color w:val="CC0000"/>
                <w:sz w:val="16"/>
                <w:szCs w:val="16"/>
                <w:lang w:eastAsia="ru-RU"/>
              </w:rPr>
              <w:t>10469</w:t>
            </w:r>
            <w:r>
              <w:rPr>
                <w:color w:val="auto"/>
                <w:sz w:val="16"/>
                <w:szCs w:val="16"/>
                <w:lang w:eastAsia="ru-RU"/>
              </w:rPr>
              <w:t>)</w:t>
            </w:r>
          </w:p>
          <w:p w:rsidR="00BD6DD1" w:rsidRDefault="00BD6DD1">
            <w:pPr>
              <w:widowControl/>
              <w:numPr>
                <w:ilvl w:val="0"/>
                <w:numId w:val="14"/>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списании задолженности, невостребованной кредиторами, со счета __ (ф. </w:t>
            </w:r>
            <w:hyperlink r:id="rId17" w:tgtFrame="_top" w:history="1">
              <w:r>
                <w:rPr>
                  <w:rStyle w:val="a3"/>
                  <w:color w:val="CC0000"/>
                  <w:sz w:val="16"/>
                  <w:szCs w:val="16"/>
                  <w:lang w:eastAsia="ru-RU"/>
                </w:rPr>
                <w:t>0510437</w:t>
              </w:r>
            </w:hyperlink>
            <w:r>
              <w:rPr>
                <w:color w:val="auto"/>
                <w:sz w:val="16"/>
                <w:szCs w:val="16"/>
                <w:lang w:eastAsia="ru-RU"/>
              </w:rPr>
              <w:t>),</w:t>
            </w:r>
          </w:p>
          <w:p w:rsidR="00BD6DD1" w:rsidRDefault="00BD6DD1">
            <w:pPr>
              <w:widowControl/>
              <w:numPr>
                <w:ilvl w:val="0"/>
                <w:numId w:val="14"/>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Документы, подтверждающие основания для признания задолженности, невостребованной кредитором: договоры на поставку товаров, контракты на выполнение работ, оказание услуг, накладные, акты выполненных работ, оказания услуг, трудовые договоры, акт государственного органа, выписки из ЕГРЮЛ, ЕГРП, копии свидетельства о смерти физического лица, копии судебного решения об объявлении физического лица умершим и пр.</w:t>
            </w:r>
          </w:p>
        </w:tc>
      </w:tr>
      <w:tr w:rsidR="00BD6DD1" w:rsidTr="00BD6DD1">
        <w:trPr>
          <w:tblCellSpacing w:w="0" w:type="dxa"/>
        </w:trPr>
        <w:tc>
          <w:tcPr>
            <w:tcW w:w="1429"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3. </w:t>
            </w:r>
            <w:hyperlink r:id="rId18" w:anchor="_toc106623467" w:history="1">
              <w:r>
                <w:rPr>
                  <w:rStyle w:val="a3"/>
                  <w:color w:val="CC0000"/>
                  <w:sz w:val="16"/>
                  <w:szCs w:val="16"/>
                  <w:lang w:eastAsia="ru-RU"/>
                </w:rPr>
                <w:t xml:space="preserve">Списание кредиторской задолженности, </w:t>
              </w:r>
              <w:r>
                <w:rPr>
                  <w:rStyle w:val="a3"/>
                  <w:color w:val="CC0000"/>
                  <w:sz w:val="16"/>
                  <w:szCs w:val="16"/>
                  <w:lang w:eastAsia="ru-RU"/>
                </w:rPr>
                <w:lastRenderedPageBreak/>
                <w:t xml:space="preserve">невостребованной кредиторами, с </w:t>
              </w:r>
              <w:proofErr w:type="spellStart"/>
              <w:r>
                <w:rPr>
                  <w:rStyle w:val="a3"/>
                  <w:color w:val="CC0000"/>
                  <w:sz w:val="16"/>
                  <w:szCs w:val="16"/>
                  <w:lang w:eastAsia="ru-RU"/>
                </w:rPr>
                <w:t>забаланса</w:t>
              </w:r>
              <w:proofErr w:type="spellEnd"/>
              <w:r>
                <w:rPr>
                  <w:rStyle w:val="a3"/>
                  <w:color w:val="CC0000"/>
                  <w:sz w:val="16"/>
                  <w:szCs w:val="16"/>
                  <w:lang w:eastAsia="ru-RU"/>
                </w:rPr>
                <w:t xml:space="preserve"> в связи с прекращением наблюдения</w:t>
              </w:r>
            </w:hyperlink>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lastRenderedPageBreak/>
              <w:t> </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20 (КДБ, КРБ КОСГУ 100, 200, 300 </w:t>
            </w:r>
            <w:hyperlink r:id="rId19" w:anchor="st_3" w:history="1">
              <w:r>
                <w:rPr>
                  <w:rStyle w:val="a3"/>
                  <w:color w:val="CC0000"/>
                  <w:sz w:val="16"/>
                  <w:szCs w:val="16"/>
                  <w:lang w:eastAsia="ru-RU"/>
                </w:rPr>
                <w:t>***</w:t>
              </w:r>
            </w:hyperlink>
            <w:r>
              <w:rPr>
                <w:color w:val="auto"/>
                <w:sz w:val="16"/>
                <w:szCs w:val="16"/>
                <w:lang w:eastAsia="ru-RU"/>
              </w:rPr>
              <w:t>)</w:t>
            </w:r>
          </w:p>
        </w:tc>
        <w:tc>
          <w:tcPr>
            <w:tcW w:w="269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инвентаризации:</w:t>
            </w:r>
          </w:p>
          <w:p w:rsidR="00BD6DD1" w:rsidRDefault="00BD6DD1">
            <w:pPr>
              <w:widowControl/>
              <w:numPr>
                <w:ilvl w:val="0"/>
                <w:numId w:val="15"/>
              </w:numPr>
              <w:suppressAutoHyphens w:val="0"/>
              <w:spacing w:before="100" w:beforeAutospacing="1" w:after="100" w:afterAutospacing="1"/>
              <w:jc w:val="left"/>
              <w:rPr>
                <w:color w:val="auto"/>
                <w:sz w:val="16"/>
                <w:szCs w:val="16"/>
                <w:lang w:eastAsia="ru-RU"/>
              </w:rPr>
            </w:pPr>
            <w:r>
              <w:rPr>
                <w:color w:val="auto"/>
                <w:sz w:val="16"/>
                <w:szCs w:val="16"/>
                <w:lang w:eastAsia="ru-RU"/>
              </w:rPr>
              <w:lastRenderedPageBreak/>
              <w:t>документ </w:t>
            </w:r>
            <w:r>
              <w:rPr>
                <w:b/>
                <w:bCs/>
                <w:color w:val="auto"/>
                <w:sz w:val="16"/>
                <w:szCs w:val="16"/>
                <w:lang w:eastAsia="ru-RU"/>
              </w:rPr>
              <w:t>Решение о проведении инвентаризации</w:t>
            </w:r>
          </w:p>
          <w:p w:rsidR="00BD6DD1" w:rsidRDefault="00BD6DD1">
            <w:pPr>
              <w:widowControl/>
              <w:numPr>
                <w:ilvl w:val="0"/>
                <w:numId w:val="15"/>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Изменение решения о проведении инвентаризации</w:t>
            </w:r>
            <w:r>
              <w:rPr>
                <w:color w:val="auto"/>
                <w:sz w:val="16"/>
                <w:szCs w:val="16"/>
                <w:lang w:eastAsia="ru-RU"/>
              </w:rPr>
              <w:t> (в случае внесения изменений в существующее решение о проведении инвентаризации)</w:t>
            </w:r>
          </w:p>
          <w:p w:rsidR="00BD6DD1" w:rsidRDefault="00BD6DD1">
            <w:pPr>
              <w:widowControl/>
              <w:numPr>
                <w:ilvl w:val="0"/>
                <w:numId w:val="15"/>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proofErr w:type="spellStart"/>
            <w:proofErr w:type="gramStart"/>
            <w:r>
              <w:rPr>
                <w:b/>
                <w:bCs/>
                <w:color w:val="auto"/>
                <w:sz w:val="16"/>
                <w:szCs w:val="16"/>
                <w:lang w:eastAsia="ru-RU"/>
              </w:rPr>
              <w:t>Инвентариза-ция</w:t>
            </w:r>
            <w:proofErr w:type="spellEnd"/>
            <w:proofErr w:type="gramEnd"/>
            <w:r>
              <w:rPr>
                <w:b/>
                <w:bCs/>
                <w:color w:val="auto"/>
                <w:sz w:val="16"/>
                <w:szCs w:val="16"/>
                <w:lang w:eastAsia="ru-RU"/>
              </w:rPr>
              <w:t xml:space="preserve"> расчетов с контрагентами</w:t>
            </w:r>
          </w:p>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бух. записей:</w:t>
            </w:r>
          </w:p>
          <w:p w:rsidR="00BD6DD1" w:rsidRDefault="00BD6DD1">
            <w:pPr>
              <w:widowControl/>
              <w:numPr>
                <w:ilvl w:val="0"/>
                <w:numId w:val="16"/>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r>
              <w:rPr>
                <w:b/>
                <w:bCs/>
                <w:color w:val="auto"/>
                <w:sz w:val="16"/>
                <w:szCs w:val="16"/>
                <w:lang w:eastAsia="ru-RU"/>
              </w:rPr>
              <w:t>Списание кредиторской задолженности</w:t>
            </w:r>
            <w:r>
              <w:rPr>
                <w:color w:val="auto"/>
                <w:sz w:val="16"/>
                <w:szCs w:val="16"/>
                <w:lang w:eastAsia="ru-RU"/>
              </w:rPr>
              <w:t>, типовая операция </w:t>
            </w:r>
            <w:r>
              <w:rPr>
                <w:b/>
                <w:bCs/>
                <w:color w:val="auto"/>
                <w:sz w:val="16"/>
                <w:szCs w:val="16"/>
                <w:lang w:eastAsia="ru-RU"/>
              </w:rPr>
              <w:t>Прекращение наблюдения за задолженностью (окончание срока исковой давности)</w:t>
            </w:r>
          </w:p>
        </w:tc>
        <w:tc>
          <w:tcPr>
            <w:tcW w:w="2835" w:type="dxa"/>
            <w:tcBorders>
              <w:top w:val="nil"/>
              <w:left w:val="single" w:sz="6" w:space="0" w:color="FFD700"/>
              <w:bottom w:val="single" w:sz="6" w:space="0" w:color="FFD700"/>
              <w:right w:val="nil"/>
            </w:tcBorders>
            <w:hideMark/>
          </w:tcPr>
          <w:p w:rsidR="00BD6DD1" w:rsidRDefault="00BD6DD1">
            <w:pPr>
              <w:widowControl/>
              <w:numPr>
                <w:ilvl w:val="0"/>
                <w:numId w:val="17"/>
              </w:numPr>
              <w:suppressAutoHyphens w:val="0"/>
              <w:spacing w:before="100" w:beforeAutospacing="1" w:after="100" w:afterAutospacing="1"/>
              <w:jc w:val="left"/>
              <w:rPr>
                <w:color w:val="auto"/>
                <w:sz w:val="16"/>
                <w:szCs w:val="16"/>
                <w:lang w:eastAsia="ru-RU"/>
              </w:rPr>
            </w:pPr>
            <w:r>
              <w:rPr>
                <w:color w:val="auto"/>
                <w:sz w:val="16"/>
                <w:szCs w:val="16"/>
                <w:lang w:eastAsia="ru-RU"/>
              </w:rPr>
              <w:lastRenderedPageBreak/>
              <w:t>Решение о проведении инвентаризации (ф. </w:t>
            </w:r>
            <w:hyperlink r:id="rId20" w:tgtFrame="_top" w:history="1">
              <w:r>
                <w:rPr>
                  <w:rStyle w:val="a3"/>
                  <w:color w:val="CC0000"/>
                  <w:sz w:val="16"/>
                  <w:szCs w:val="16"/>
                  <w:lang w:eastAsia="ru-RU"/>
                </w:rPr>
                <w:t>0510439</w:t>
              </w:r>
            </w:hyperlink>
            <w:r>
              <w:rPr>
                <w:color w:val="auto"/>
                <w:sz w:val="16"/>
                <w:szCs w:val="16"/>
                <w:lang w:eastAsia="ru-RU"/>
              </w:rPr>
              <w:t xml:space="preserve">) или Изменение </w:t>
            </w:r>
            <w:r>
              <w:rPr>
                <w:color w:val="auto"/>
                <w:sz w:val="16"/>
                <w:szCs w:val="16"/>
                <w:lang w:eastAsia="ru-RU"/>
              </w:rPr>
              <w:lastRenderedPageBreak/>
              <w:t>решения о проведении инвентаризации (ф. </w:t>
            </w:r>
            <w:hyperlink r:id="rId21" w:tgtFrame="_top" w:history="1">
              <w:r>
                <w:rPr>
                  <w:rStyle w:val="a3"/>
                  <w:color w:val="CC0000"/>
                  <w:sz w:val="16"/>
                  <w:szCs w:val="16"/>
                  <w:lang w:eastAsia="ru-RU"/>
                </w:rPr>
                <w:t>0510447</w:t>
              </w:r>
            </w:hyperlink>
            <w:r>
              <w:rPr>
                <w:color w:val="auto"/>
                <w:sz w:val="16"/>
                <w:szCs w:val="16"/>
                <w:lang w:eastAsia="ru-RU"/>
              </w:rPr>
              <w:t>)</w:t>
            </w:r>
          </w:p>
          <w:p w:rsidR="00BD6DD1" w:rsidRDefault="00BD6DD1">
            <w:pPr>
              <w:widowControl/>
              <w:numPr>
                <w:ilvl w:val="0"/>
                <w:numId w:val="17"/>
              </w:numPr>
              <w:suppressAutoHyphens w:val="0"/>
              <w:spacing w:before="100" w:beforeAutospacing="1" w:after="100" w:afterAutospacing="1"/>
              <w:jc w:val="left"/>
              <w:rPr>
                <w:color w:val="auto"/>
                <w:sz w:val="16"/>
                <w:szCs w:val="16"/>
                <w:lang w:eastAsia="ru-RU"/>
              </w:rPr>
            </w:pPr>
            <w:r>
              <w:rPr>
                <w:color w:val="auto"/>
                <w:sz w:val="16"/>
                <w:szCs w:val="16"/>
                <w:lang w:eastAsia="ru-RU"/>
              </w:rPr>
              <w:t xml:space="preserve">Инвентаризационная опись расчетов с покупателями, поставщиками и </w:t>
            </w:r>
            <w:proofErr w:type="gramStart"/>
            <w:r>
              <w:rPr>
                <w:color w:val="auto"/>
                <w:sz w:val="16"/>
                <w:szCs w:val="16"/>
                <w:lang w:eastAsia="ru-RU"/>
              </w:rPr>
              <w:t>прочими дебиторами</w:t>
            </w:r>
            <w:proofErr w:type="gramEnd"/>
            <w:r>
              <w:rPr>
                <w:color w:val="auto"/>
                <w:sz w:val="16"/>
                <w:szCs w:val="16"/>
                <w:lang w:eastAsia="ru-RU"/>
              </w:rPr>
              <w:t xml:space="preserve"> и кредиторами (ф. </w:t>
            </w:r>
            <w:r w:rsidR="00172D52">
              <w:rPr>
                <w:rStyle w:val="a3"/>
                <w:color w:val="CC0000"/>
                <w:sz w:val="16"/>
                <w:szCs w:val="16"/>
                <w:lang w:eastAsia="ru-RU"/>
              </w:rPr>
              <w:fldChar w:fldCharType="begin"/>
            </w:r>
            <w:r w:rsidR="00172D52">
              <w:rPr>
                <w:rStyle w:val="a3"/>
                <w:color w:val="CC0000"/>
                <w:sz w:val="16"/>
                <w:szCs w:val="16"/>
                <w:lang w:eastAsia="ru-RU"/>
              </w:rPr>
              <w:instrText xml:space="preserve"> HYPERLINK "https://its.1c.ru/db/garant/content/70851956/hdoc/4420" \t "_top" </w:instrText>
            </w:r>
            <w:r w:rsidR="00172D52">
              <w:rPr>
                <w:rStyle w:val="a3"/>
                <w:color w:val="CC0000"/>
                <w:sz w:val="16"/>
                <w:szCs w:val="16"/>
                <w:lang w:eastAsia="ru-RU"/>
              </w:rPr>
              <w:fldChar w:fldCharType="separate"/>
            </w:r>
            <w:r>
              <w:rPr>
                <w:rStyle w:val="a3"/>
                <w:color w:val="CC0000"/>
                <w:sz w:val="16"/>
                <w:szCs w:val="16"/>
                <w:lang w:eastAsia="ru-RU"/>
              </w:rPr>
              <w:t>05</w:t>
            </w:r>
            <w:r w:rsidR="00172D52">
              <w:rPr>
                <w:rStyle w:val="a3"/>
                <w:color w:val="CC0000"/>
                <w:sz w:val="16"/>
                <w:szCs w:val="16"/>
                <w:lang w:eastAsia="ru-RU"/>
              </w:rPr>
              <w:fldChar w:fldCharType="end"/>
            </w:r>
            <w:r w:rsidR="00172D52">
              <w:rPr>
                <w:rStyle w:val="a3"/>
                <w:color w:val="CC0000"/>
                <w:sz w:val="16"/>
                <w:szCs w:val="16"/>
                <w:lang w:eastAsia="ru-RU"/>
              </w:rPr>
              <w:t>10469</w:t>
            </w:r>
            <w:bookmarkStart w:id="2" w:name="_GoBack"/>
            <w:bookmarkEnd w:id="2"/>
            <w:r>
              <w:rPr>
                <w:color w:val="auto"/>
                <w:sz w:val="16"/>
                <w:szCs w:val="16"/>
                <w:lang w:eastAsia="ru-RU"/>
              </w:rPr>
              <w:t>)</w:t>
            </w:r>
          </w:p>
          <w:p w:rsidR="00BD6DD1" w:rsidRDefault="00BD6DD1">
            <w:pPr>
              <w:widowControl/>
              <w:numPr>
                <w:ilvl w:val="0"/>
                <w:numId w:val="17"/>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списании задолженности, невостребованной кредиторами, со счета __ (ф. </w:t>
            </w:r>
            <w:hyperlink r:id="rId22" w:tgtFrame="_top" w:history="1">
              <w:r>
                <w:rPr>
                  <w:rStyle w:val="a3"/>
                  <w:color w:val="CC0000"/>
                  <w:sz w:val="16"/>
                  <w:szCs w:val="16"/>
                  <w:lang w:eastAsia="ru-RU"/>
                </w:rPr>
                <w:t>0510437</w:t>
              </w:r>
            </w:hyperlink>
            <w:r>
              <w:rPr>
                <w:color w:val="auto"/>
                <w:sz w:val="16"/>
                <w:szCs w:val="16"/>
                <w:lang w:eastAsia="ru-RU"/>
              </w:rPr>
              <w:t>),</w:t>
            </w:r>
          </w:p>
          <w:p w:rsidR="00BD6DD1" w:rsidRDefault="00BD6DD1">
            <w:pPr>
              <w:widowControl/>
              <w:numPr>
                <w:ilvl w:val="0"/>
                <w:numId w:val="17"/>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Документы, подтверждающие основания для прекращения наблюдения за задолженностью, невостребованной кредитором: договоры на поставку товаров, контракты на выполнение работ, оказание услуг, накладные, акты выполненных работ, оказания услуг, трудовые договоры, акт государственного органа, выписки из ЕГРЮЛ, ЕГРП, копии свидетельства о смерти физического лица, копии судебного решения об объявлении физического лица умершим, акты инвентаризации, объяснительная записка главного бухгалтера о причине образования задолженности, бухгалтерские справки, приказ руководителя и пр.</w:t>
            </w:r>
          </w:p>
        </w:tc>
      </w:tr>
      <w:tr w:rsidR="00BD6DD1" w:rsidTr="00BD6DD1">
        <w:trPr>
          <w:tblCellSpacing w:w="0" w:type="dxa"/>
        </w:trPr>
        <w:tc>
          <w:tcPr>
            <w:tcW w:w="10296" w:type="dxa"/>
            <w:gridSpan w:val="5"/>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lang w:eastAsia="ru-RU"/>
              </w:rPr>
              <w:lastRenderedPageBreak/>
              <w:t>Восстановление кредиторской задолженности, признанной ранее невостребованной кредиторами</w:t>
            </w:r>
          </w:p>
        </w:tc>
      </w:tr>
      <w:tr w:rsidR="00BD6DD1" w:rsidTr="00BD6DD1">
        <w:trPr>
          <w:tblCellSpacing w:w="0" w:type="dxa"/>
        </w:trPr>
        <w:tc>
          <w:tcPr>
            <w:tcW w:w="1429" w:type="dxa"/>
            <w:vMerge w:val="restart"/>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bookmarkStart w:id="3" w:name="oper_4"/>
            <w:bookmarkEnd w:id="3"/>
            <w:r>
              <w:rPr>
                <w:color w:val="auto"/>
                <w:sz w:val="16"/>
                <w:szCs w:val="16"/>
                <w:lang w:eastAsia="ru-RU"/>
              </w:rPr>
              <w:t>1. </w:t>
            </w:r>
            <w:hyperlink r:id="rId23" w:anchor="_toc106623471" w:history="1">
              <w:r>
                <w:rPr>
                  <w:rStyle w:val="a3"/>
                  <w:color w:val="CC0000"/>
                  <w:sz w:val="16"/>
                  <w:szCs w:val="16"/>
                  <w:lang w:eastAsia="ru-RU"/>
                </w:rPr>
                <w:t xml:space="preserve">Восстановление кредиторской задолженности с </w:t>
              </w:r>
              <w:proofErr w:type="spellStart"/>
              <w:r>
                <w:rPr>
                  <w:rStyle w:val="a3"/>
                  <w:color w:val="CC0000"/>
                  <w:sz w:val="16"/>
                  <w:szCs w:val="16"/>
                  <w:lang w:eastAsia="ru-RU"/>
                </w:rPr>
                <w:t>забалансового</w:t>
              </w:r>
              <w:proofErr w:type="spellEnd"/>
              <w:r>
                <w:rPr>
                  <w:rStyle w:val="a3"/>
                  <w:color w:val="CC0000"/>
                  <w:sz w:val="16"/>
                  <w:szCs w:val="16"/>
                  <w:lang w:eastAsia="ru-RU"/>
                </w:rPr>
                <w:t xml:space="preserve"> учета</w:t>
              </w:r>
            </w:hyperlink>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 </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20 (КДБ, КРБ КОСГУ 100, 200, 300 </w:t>
            </w:r>
            <w:hyperlink r:id="rId24" w:anchor="st_3" w:history="1">
              <w:r>
                <w:rPr>
                  <w:rStyle w:val="a3"/>
                  <w:color w:val="CC0000"/>
                  <w:sz w:val="16"/>
                  <w:szCs w:val="16"/>
                  <w:lang w:eastAsia="ru-RU"/>
                </w:rPr>
                <w:t>***</w:t>
              </w:r>
            </w:hyperlink>
            <w:r>
              <w:rPr>
                <w:color w:val="auto"/>
                <w:sz w:val="16"/>
                <w:szCs w:val="16"/>
                <w:lang w:eastAsia="ru-RU"/>
              </w:rPr>
              <w:t>)</w:t>
            </w:r>
          </w:p>
        </w:tc>
        <w:tc>
          <w:tcPr>
            <w:tcW w:w="2693" w:type="dxa"/>
            <w:vMerge w:val="restart"/>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бух. записей:</w:t>
            </w:r>
          </w:p>
          <w:p w:rsidR="00BD6DD1" w:rsidRDefault="00BD6DD1">
            <w:pPr>
              <w:widowControl/>
              <w:numPr>
                <w:ilvl w:val="0"/>
                <w:numId w:val="18"/>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proofErr w:type="spellStart"/>
            <w:proofErr w:type="gramStart"/>
            <w:r>
              <w:rPr>
                <w:b/>
                <w:bCs/>
                <w:color w:val="auto"/>
                <w:sz w:val="16"/>
                <w:szCs w:val="16"/>
                <w:lang w:eastAsia="ru-RU"/>
              </w:rPr>
              <w:t>Восстановле-ние</w:t>
            </w:r>
            <w:proofErr w:type="spellEnd"/>
            <w:proofErr w:type="gramEnd"/>
            <w:r>
              <w:rPr>
                <w:b/>
                <w:bCs/>
                <w:color w:val="auto"/>
                <w:sz w:val="16"/>
                <w:szCs w:val="16"/>
                <w:lang w:eastAsia="ru-RU"/>
              </w:rPr>
              <w:t xml:space="preserve"> кредиторской задолженности</w:t>
            </w:r>
            <w:r>
              <w:rPr>
                <w:color w:val="auto"/>
                <w:sz w:val="16"/>
                <w:szCs w:val="16"/>
                <w:lang w:eastAsia="ru-RU"/>
              </w:rPr>
              <w:t>, типовая операция </w:t>
            </w:r>
            <w:proofErr w:type="spellStart"/>
            <w:r>
              <w:rPr>
                <w:b/>
                <w:bCs/>
                <w:color w:val="auto"/>
                <w:sz w:val="16"/>
                <w:szCs w:val="16"/>
                <w:lang w:eastAsia="ru-RU"/>
              </w:rPr>
              <w:t>Восстановле-ние</w:t>
            </w:r>
            <w:proofErr w:type="spellEnd"/>
            <w:r>
              <w:rPr>
                <w:b/>
                <w:bCs/>
                <w:color w:val="auto"/>
                <w:sz w:val="16"/>
                <w:szCs w:val="16"/>
                <w:lang w:eastAsia="ru-RU"/>
              </w:rPr>
              <w:t xml:space="preserve"> кредиторской задолженности, учитываемой на </w:t>
            </w:r>
            <w:proofErr w:type="spellStart"/>
            <w:r>
              <w:rPr>
                <w:b/>
                <w:bCs/>
                <w:color w:val="auto"/>
                <w:sz w:val="16"/>
                <w:szCs w:val="16"/>
                <w:lang w:eastAsia="ru-RU"/>
              </w:rPr>
              <w:t>забалансе</w:t>
            </w:r>
            <w:proofErr w:type="spellEnd"/>
          </w:p>
        </w:tc>
        <w:tc>
          <w:tcPr>
            <w:tcW w:w="2835" w:type="dxa"/>
            <w:vMerge w:val="restart"/>
            <w:tcBorders>
              <w:top w:val="nil"/>
              <w:left w:val="single" w:sz="6" w:space="0" w:color="FFD700"/>
              <w:bottom w:val="single" w:sz="6" w:space="0" w:color="FFD700"/>
              <w:right w:val="nil"/>
            </w:tcBorders>
            <w:hideMark/>
          </w:tcPr>
          <w:p w:rsidR="00BD6DD1" w:rsidRDefault="00BD6DD1">
            <w:pPr>
              <w:widowControl/>
              <w:numPr>
                <w:ilvl w:val="0"/>
                <w:numId w:val="19"/>
              </w:numPr>
              <w:suppressAutoHyphens w:val="0"/>
              <w:spacing w:before="100" w:beforeAutospacing="1" w:after="100" w:afterAutospacing="1"/>
              <w:jc w:val="left"/>
              <w:rPr>
                <w:color w:val="auto"/>
                <w:sz w:val="16"/>
                <w:szCs w:val="16"/>
                <w:lang w:eastAsia="ru-RU"/>
              </w:rPr>
            </w:pPr>
            <w:r>
              <w:rPr>
                <w:color w:val="auto"/>
                <w:sz w:val="16"/>
                <w:szCs w:val="16"/>
                <w:lang w:eastAsia="ru-RU"/>
              </w:rPr>
              <w:t>Решение о восстановлении кредиторской задолженности (ф. </w:t>
            </w:r>
            <w:hyperlink r:id="rId25" w:tgtFrame="_top" w:history="1">
              <w:r>
                <w:rPr>
                  <w:rStyle w:val="a3"/>
                  <w:color w:val="CC0000"/>
                  <w:sz w:val="16"/>
                  <w:szCs w:val="16"/>
                  <w:lang w:eastAsia="ru-RU"/>
                </w:rPr>
                <w:t>0510446</w:t>
              </w:r>
            </w:hyperlink>
            <w:r>
              <w:rPr>
                <w:color w:val="auto"/>
                <w:sz w:val="16"/>
                <w:szCs w:val="16"/>
                <w:lang w:eastAsia="ru-RU"/>
              </w:rPr>
              <w:t>),</w:t>
            </w:r>
          </w:p>
          <w:p w:rsidR="00BD6DD1" w:rsidRDefault="00BD6DD1">
            <w:pPr>
              <w:widowControl/>
              <w:numPr>
                <w:ilvl w:val="0"/>
                <w:numId w:val="19"/>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Документы, подтверждающие основания для восстановления задолженности, ранее признанной невостребованной кредитором: судебные решения, заявления, исковые требования об исполнении задолженности и документы, подтверждающие возникновение обязательств: накладные, акты, платежные документы (в части обязательств по возврату переплат и пр.</w:t>
            </w:r>
          </w:p>
        </w:tc>
      </w:tr>
      <w:tr w:rsidR="00BD6DD1" w:rsidTr="00BD6DD1">
        <w:trPr>
          <w:tblCellSpacing w:w="0" w:type="dxa"/>
        </w:trPr>
        <w:tc>
          <w:tcPr>
            <w:tcW w:w="10296"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center"/>
              <w:rPr>
                <w:color w:val="auto"/>
                <w:sz w:val="16"/>
                <w:szCs w:val="16"/>
                <w:lang w:eastAsia="ru-RU"/>
              </w:rPr>
            </w:pPr>
            <w:r>
              <w:rPr>
                <w:color w:val="auto"/>
                <w:sz w:val="16"/>
                <w:szCs w:val="16"/>
                <w:lang w:eastAsia="ru-RU"/>
              </w:rPr>
              <w:t>КДБ** 0 401 10 173</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0 205 00 660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0 209 00 660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0 208 00 667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0 301 00 700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0 302 00 730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0 303 00 731</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02 737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lastRenderedPageBreak/>
              <w:t>КРБ* 0 304 03 737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0 304 06 730</w:t>
            </w:r>
          </w:p>
        </w:tc>
        <w:tc>
          <w:tcPr>
            <w:tcW w:w="2693"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c>
          <w:tcPr>
            <w:tcW w:w="2835"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r>
      <w:tr w:rsidR="00BD6DD1" w:rsidTr="00BD6DD1">
        <w:trPr>
          <w:tblCellSpacing w:w="0" w:type="dxa"/>
        </w:trPr>
        <w:tc>
          <w:tcPr>
            <w:tcW w:w="1429"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2. </w:t>
            </w:r>
            <w:hyperlink r:id="rId26" w:anchor="_toc106623473" w:history="1">
              <w:r>
                <w:rPr>
                  <w:rStyle w:val="a3"/>
                  <w:color w:val="CC0000"/>
                  <w:sz w:val="16"/>
                  <w:szCs w:val="16"/>
                  <w:lang w:eastAsia="ru-RU"/>
                </w:rPr>
                <w:t xml:space="preserve">Восстановление кредиторской задолженности, ранее не учитываемой на </w:t>
              </w:r>
              <w:proofErr w:type="spellStart"/>
              <w:r>
                <w:rPr>
                  <w:rStyle w:val="a3"/>
                  <w:color w:val="CC0000"/>
                  <w:sz w:val="16"/>
                  <w:szCs w:val="16"/>
                  <w:lang w:eastAsia="ru-RU"/>
                </w:rPr>
                <w:t>забалансовом</w:t>
              </w:r>
              <w:proofErr w:type="spellEnd"/>
              <w:r>
                <w:rPr>
                  <w:rStyle w:val="a3"/>
                  <w:color w:val="CC0000"/>
                  <w:sz w:val="16"/>
                  <w:szCs w:val="16"/>
                  <w:lang w:eastAsia="ru-RU"/>
                </w:rPr>
                <w:t xml:space="preserve"> учете</w:t>
              </w:r>
            </w:hyperlink>
          </w:p>
        </w:tc>
        <w:tc>
          <w:tcPr>
            <w:tcW w:w="206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center"/>
              <w:rPr>
                <w:color w:val="auto"/>
                <w:sz w:val="16"/>
                <w:szCs w:val="16"/>
                <w:lang w:eastAsia="ru-RU"/>
              </w:rPr>
            </w:pPr>
            <w:r>
              <w:rPr>
                <w:color w:val="auto"/>
                <w:sz w:val="16"/>
                <w:szCs w:val="16"/>
                <w:lang w:eastAsia="ru-RU"/>
              </w:rPr>
              <w:t>КДБ** 0 401 10 173</w:t>
            </w:r>
          </w:p>
        </w:tc>
        <w:tc>
          <w:tcPr>
            <w:tcW w:w="1276"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0 205 00 660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КДБ* 0 209 00 660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0 208 00 667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0 301 00 700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0 302 00 730</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0 303 00 731</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02 737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0 304 03 737</w:t>
            </w:r>
          </w:p>
          <w:p w:rsidR="00BD6DD1" w:rsidRDefault="00BD6DD1">
            <w:pPr>
              <w:widowControl/>
              <w:suppressAutoHyphens w:val="0"/>
              <w:spacing w:before="100" w:beforeAutospacing="1" w:after="100" w:afterAutospacing="1"/>
              <w:jc w:val="left"/>
              <w:rPr>
                <w:color w:val="auto"/>
                <w:sz w:val="16"/>
                <w:szCs w:val="16"/>
                <w:lang w:eastAsia="ru-RU"/>
              </w:rPr>
            </w:pPr>
            <w:r>
              <w:rPr>
                <w:color w:val="auto"/>
                <w:sz w:val="16"/>
                <w:szCs w:val="16"/>
                <w:lang w:eastAsia="ru-RU"/>
              </w:rPr>
              <w:t>КРБ, КИФ * 0 304 06 730</w:t>
            </w:r>
          </w:p>
        </w:tc>
        <w:tc>
          <w:tcPr>
            <w:tcW w:w="2693" w:type="dxa"/>
            <w:tcBorders>
              <w:top w:val="nil"/>
              <w:left w:val="single" w:sz="6" w:space="0" w:color="FFD700"/>
              <w:bottom w:val="single" w:sz="6" w:space="0" w:color="FFD700"/>
              <w:right w:val="nil"/>
            </w:tcBorders>
            <w:hideMark/>
          </w:tcPr>
          <w:p w:rsidR="00BD6DD1" w:rsidRDefault="00BD6DD1">
            <w:pPr>
              <w:widowControl/>
              <w:suppressAutoHyphens w:val="0"/>
              <w:spacing w:before="100" w:beforeAutospacing="1" w:after="100" w:afterAutospacing="1"/>
              <w:jc w:val="left"/>
              <w:rPr>
                <w:color w:val="auto"/>
                <w:sz w:val="16"/>
                <w:szCs w:val="16"/>
                <w:lang w:eastAsia="ru-RU"/>
              </w:rPr>
            </w:pPr>
            <w:r>
              <w:rPr>
                <w:b/>
                <w:bCs/>
                <w:color w:val="auto"/>
                <w:sz w:val="16"/>
                <w:szCs w:val="16"/>
                <w:u w:val="single"/>
                <w:lang w:eastAsia="ru-RU"/>
              </w:rPr>
              <w:t>Оформление бух. записей:</w:t>
            </w:r>
          </w:p>
          <w:p w:rsidR="00BD6DD1" w:rsidRDefault="00BD6DD1">
            <w:pPr>
              <w:widowControl/>
              <w:numPr>
                <w:ilvl w:val="0"/>
                <w:numId w:val="20"/>
              </w:numPr>
              <w:suppressAutoHyphens w:val="0"/>
              <w:spacing w:before="100" w:beforeAutospacing="1" w:after="100" w:afterAutospacing="1"/>
              <w:jc w:val="left"/>
              <w:rPr>
                <w:color w:val="auto"/>
                <w:sz w:val="16"/>
                <w:szCs w:val="16"/>
                <w:lang w:eastAsia="ru-RU"/>
              </w:rPr>
            </w:pPr>
            <w:r>
              <w:rPr>
                <w:color w:val="auto"/>
                <w:sz w:val="16"/>
                <w:szCs w:val="16"/>
                <w:lang w:eastAsia="ru-RU"/>
              </w:rPr>
              <w:t>документ </w:t>
            </w:r>
            <w:proofErr w:type="spellStart"/>
            <w:proofErr w:type="gramStart"/>
            <w:r>
              <w:rPr>
                <w:b/>
                <w:bCs/>
                <w:color w:val="auto"/>
                <w:sz w:val="16"/>
                <w:szCs w:val="16"/>
                <w:lang w:eastAsia="ru-RU"/>
              </w:rPr>
              <w:t>Восстановле-ние</w:t>
            </w:r>
            <w:proofErr w:type="spellEnd"/>
            <w:proofErr w:type="gramEnd"/>
            <w:r>
              <w:rPr>
                <w:b/>
                <w:bCs/>
                <w:color w:val="auto"/>
                <w:sz w:val="16"/>
                <w:szCs w:val="16"/>
                <w:lang w:eastAsia="ru-RU"/>
              </w:rPr>
              <w:t xml:space="preserve"> кредиторской задолженности</w:t>
            </w:r>
            <w:r>
              <w:rPr>
                <w:color w:val="auto"/>
                <w:sz w:val="16"/>
                <w:szCs w:val="16"/>
                <w:lang w:eastAsia="ru-RU"/>
              </w:rPr>
              <w:t>, типовая операция </w:t>
            </w:r>
            <w:proofErr w:type="spellStart"/>
            <w:r>
              <w:rPr>
                <w:b/>
                <w:bCs/>
                <w:color w:val="auto"/>
                <w:sz w:val="16"/>
                <w:szCs w:val="16"/>
                <w:lang w:eastAsia="ru-RU"/>
              </w:rPr>
              <w:t>Восстановле-ние</w:t>
            </w:r>
            <w:proofErr w:type="spellEnd"/>
            <w:r>
              <w:rPr>
                <w:b/>
                <w:bCs/>
                <w:color w:val="auto"/>
                <w:sz w:val="16"/>
                <w:szCs w:val="16"/>
                <w:lang w:eastAsia="ru-RU"/>
              </w:rPr>
              <w:t xml:space="preserve"> кредиторской задолженности, ранее не учитываемой</w:t>
            </w:r>
          </w:p>
        </w:tc>
        <w:tc>
          <w:tcPr>
            <w:tcW w:w="2835" w:type="dxa"/>
            <w:vMerge/>
            <w:tcBorders>
              <w:top w:val="nil"/>
              <w:left w:val="single" w:sz="6" w:space="0" w:color="FFD700"/>
              <w:bottom w:val="single" w:sz="6" w:space="0" w:color="FFD700"/>
              <w:right w:val="nil"/>
            </w:tcBorders>
            <w:vAlign w:val="center"/>
            <w:hideMark/>
          </w:tcPr>
          <w:p w:rsidR="00BD6DD1" w:rsidRDefault="00BD6DD1">
            <w:pPr>
              <w:widowControl/>
              <w:suppressAutoHyphens w:val="0"/>
              <w:jc w:val="left"/>
              <w:rPr>
                <w:color w:val="auto"/>
                <w:sz w:val="16"/>
                <w:szCs w:val="16"/>
                <w:lang w:eastAsia="ru-RU"/>
              </w:rPr>
            </w:pPr>
          </w:p>
        </w:tc>
      </w:tr>
    </w:tbl>
    <w:p w:rsidR="00BD6DD1" w:rsidRDefault="00BD6DD1" w:rsidP="00BD6DD1">
      <w:pPr>
        <w:widowControl/>
        <w:suppressAutoHyphens w:val="0"/>
        <w:rPr>
          <w:color w:val="auto"/>
          <w:szCs w:val="22"/>
          <w:lang w:eastAsia="ru-RU"/>
        </w:rPr>
      </w:pPr>
    </w:p>
    <w:p w:rsidR="00BD6DD1" w:rsidRDefault="00BD6DD1" w:rsidP="00BD6DD1">
      <w:pPr>
        <w:widowControl/>
        <w:suppressAutoHyphens w:val="0"/>
        <w:ind w:left="-540"/>
        <w:rPr>
          <w:bCs/>
          <w:i/>
          <w:color w:val="auto"/>
          <w:szCs w:val="22"/>
          <w:lang w:eastAsia="ru-RU"/>
        </w:rPr>
      </w:pPr>
    </w:p>
    <w:p w:rsidR="00BD6DD1" w:rsidRDefault="00BD6DD1" w:rsidP="00BD6DD1">
      <w:pPr>
        <w:widowControl/>
        <w:suppressAutoHyphens w:val="0"/>
        <w:autoSpaceDE w:val="0"/>
        <w:autoSpaceDN w:val="0"/>
        <w:adjustRightInd w:val="0"/>
        <w:ind w:firstLine="540"/>
        <w:jc w:val="center"/>
        <w:rPr>
          <w:b/>
          <w:color w:val="auto"/>
          <w:szCs w:val="22"/>
          <w:lang w:eastAsia="ru-RU"/>
        </w:rPr>
      </w:pPr>
      <w:r>
        <w:rPr>
          <w:b/>
          <w:color w:val="auto"/>
          <w:szCs w:val="22"/>
          <w:lang w:eastAsia="ru-RU"/>
        </w:rPr>
        <w:t>6. Заключительные положения</w:t>
      </w:r>
    </w:p>
    <w:p w:rsidR="00BD6DD1" w:rsidRDefault="00BD6DD1" w:rsidP="00BD6DD1">
      <w:pPr>
        <w:widowControl/>
        <w:suppressAutoHyphens w:val="0"/>
        <w:autoSpaceDE w:val="0"/>
        <w:autoSpaceDN w:val="0"/>
        <w:adjustRightInd w:val="0"/>
        <w:ind w:firstLine="540"/>
        <w:jc w:val="center"/>
        <w:rPr>
          <w:b/>
          <w:color w:val="auto"/>
          <w:szCs w:val="22"/>
          <w:lang w:eastAsia="ru-RU"/>
        </w:rPr>
      </w:pP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По общему правилу, списанная сумма кредиторской задолженности, невостребованная кредиторами, учитывается в составе внереализационных доходов учреждения, за исключением задолженности по уплате налогов и сборов, пеней и штрафов перед бюджетами разных уровней, сумм прекращенных обязательств перед уполномоченным банком, сопровождающим исполнение </w:t>
      </w:r>
      <w:proofErr w:type="spellStart"/>
      <w:r>
        <w:rPr>
          <w:color w:val="auto"/>
          <w:szCs w:val="22"/>
          <w:lang w:eastAsia="ru-RU"/>
        </w:rPr>
        <w:t>госконтракта</w:t>
      </w:r>
      <w:proofErr w:type="spellEnd"/>
      <w:r>
        <w:rPr>
          <w:color w:val="auto"/>
          <w:szCs w:val="22"/>
          <w:lang w:eastAsia="ru-RU"/>
        </w:rPr>
        <w:t xml:space="preserve"> по </w:t>
      </w:r>
      <w:proofErr w:type="spellStart"/>
      <w:r>
        <w:rPr>
          <w:color w:val="auto"/>
          <w:szCs w:val="22"/>
          <w:lang w:eastAsia="ru-RU"/>
        </w:rPr>
        <w:t>гособоронзаказу</w:t>
      </w:r>
      <w:proofErr w:type="spellEnd"/>
      <w:r>
        <w:rPr>
          <w:color w:val="auto"/>
          <w:szCs w:val="22"/>
          <w:lang w:eastAsia="ru-RU"/>
        </w:rPr>
        <w:t xml:space="preserve">, определяемых актом Правительства РФ, и других подобных платежей (п. 18 ст. 250, </w:t>
      </w:r>
      <w:proofErr w:type="spellStart"/>
      <w:r>
        <w:rPr>
          <w:color w:val="auto"/>
          <w:szCs w:val="22"/>
          <w:lang w:eastAsia="ru-RU"/>
        </w:rPr>
        <w:t>пп</w:t>
      </w:r>
      <w:proofErr w:type="spellEnd"/>
      <w:r>
        <w:rPr>
          <w:color w:val="auto"/>
          <w:szCs w:val="22"/>
          <w:lang w:eastAsia="ru-RU"/>
        </w:rPr>
        <w:t>. 21, 21.3 п. 1 ст. 251 НК РФ).</w:t>
      </w:r>
    </w:p>
    <w:p w:rsidR="00BD6DD1" w:rsidRDefault="00BD6DD1" w:rsidP="00BD6DD1">
      <w:pPr>
        <w:widowControl/>
        <w:suppressAutoHyphens w:val="0"/>
        <w:autoSpaceDE w:val="0"/>
        <w:autoSpaceDN w:val="0"/>
        <w:adjustRightInd w:val="0"/>
        <w:rPr>
          <w:color w:val="auto"/>
          <w:szCs w:val="22"/>
          <w:lang w:eastAsia="ru-RU"/>
        </w:rPr>
      </w:pP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Лимиты бюджетных обязательств (бюджетные ассигнования), доведенные в установленном порядке до казенных учреждений, а также субсидии, предоставленные бюджетным и автономным учреждениям, не учитываются при определении налоговой базы по налогу на прибыль организаций. Обязательным условием при этом является наличие раздельного учета указанных доходов (расходов), полученных в рамках целевого финансирования (</w:t>
      </w:r>
      <w:proofErr w:type="spellStart"/>
      <w:r>
        <w:rPr>
          <w:color w:val="auto"/>
          <w:szCs w:val="22"/>
          <w:lang w:eastAsia="ru-RU"/>
        </w:rPr>
        <w:t>пп</w:t>
      </w:r>
      <w:proofErr w:type="spellEnd"/>
      <w:r>
        <w:rPr>
          <w:color w:val="auto"/>
          <w:szCs w:val="22"/>
          <w:lang w:eastAsia="ru-RU"/>
        </w:rPr>
        <w:t>. 14 п. 1 ст. 251 НК РФ).</w:t>
      </w:r>
    </w:p>
    <w:p w:rsidR="00BD6DD1" w:rsidRDefault="00BD6DD1" w:rsidP="00BD6DD1">
      <w:pPr>
        <w:widowControl/>
        <w:suppressAutoHyphens w:val="0"/>
        <w:autoSpaceDE w:val="0"/>
        <w:autoSpaceDN w:val="0"/>
        <w:adjustRightInd w:val="0"/>
        <w:rPr>
          <w:color w:val="auto"/>
          <w:szCs w:val="22"/>
          <w:lang w:eastAsia="ru-RU"/>
        </w:rPr>
      </w:pPr>
    </w:p>
    <w:p w:rsidR="00BD6DD1" w:rsidRDefault="00BD6DD1" w:rsidP="00BD6DD1">
      <w:pPr>
        <w:widowControl/>
        <w:suppressAutoHyphens w:val="0"/>
        <w:autoSpaceDE w:val="0"/>
        <w:autoSpaceDN w:val="0"/>
        <w:adjustRightInd w:val="0"/>
        <w:rPr>
          <w:color w:val="auto"/>
          <w:szCs w:val="22"/>
          <w:lang w:eastAsia="ru-RU"/>
        </w:rPr>
      </w:pPr>
      <w:r>
        <w:rPr>
          <w:color w:val="auto"/>
          <w:szCs w:val="22"/>
          <w:lang w:eastAsia="ru-RU"/>
        </w:rPr>
        <w:t xml:space="preserve">     </w:t>
      </w:r>
    </w:p>
    <w:p w:rsidR="007C2C69" w:rsidRDefault="007C2C69"/>
    <w:sectPr w:rsidR="007C2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B9C"/>
    <w:multiLevelType w:val="multilevel"/>
    <w:tmpl w:val="D108A3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00113"/>
    <w:multiLevelType w:val="multilevel"/>
    <w:tmpl w:val="CF80E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71C5F"/>
    <w:multiLevelType w:val="hybridMultilevel"/>
    <w:tmpl w:val="48707F36"/>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CD4F1F"/>
    <w:multiLevelType w:val="multilevel"/>
    <w:tmpl w:val="39A00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D3012"/>
    <w:multiLevelType w:val="multilevel"/>
    <w:tmpl w:val="D7FC6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541BE"/>
    <w:multiLevelType w:val="hybridMultilevel"/>
    <w:tmpl w:val="91C6D5AC"/>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3E57C13"/>
    <w:multiLevelType w:val="hybridMultilevel"/>
    <w:tmpl w:val="943C2966"/>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45000D6"/>
    <w:multiLevelType w:val="hybridMultilevel"/>
    <w:tmpl w:val="00C4AB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5254E70"/>
    <w:multiLevelType w:val="hybridMultilevel"/>
    <w:tmpl w:val="ACD4C9AC"/>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13773D5"/>
    <w:multiLevelType w:val="multilevel"/>
    <w:tmpl w:val="25EC3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E50BA"/>
    <w:multiLevelType w:val="hybridMultilevel"/>
    <w:tmpl w:val="C064740A"/>
    <w:lvl w:ilvl="0" w:tplc="8C12FF1E">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7FA61F6"/>
    <w:multiLevelType w:val="hybridMultilevel"/>
    <w:tmpl w:val="B41C3C70"/>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6616203"/>
    <w:multiLevelType w:val="multilevel"/>
    <w:tmpl w:val="BD6665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F35D16"/>
    <w:multiLevelType w:val="multilevel"/>
    <w:tmpl w:val="D59A2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F307A"/>
    <w:multiLevelType w:val="hybridMultilevel"/>
    <w:tmpl w:val="08065154"/>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27D6D63"/>
    <w:multiLevelType w:val="multilevel"/>
    <w:tmpl w:val="9D1A7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931469"/>
    <w:multiLevelType w:val="multilevel"/>
    <w:tmpl w:val="4ACE4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6F5EF0"/>
    <w:multiLevelType w:val="multilevel"/>
    <w:tmpl w:val="D01099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DE598F"/>
    <w:multiLevelType w:val="multilevel"/>
    <w:tmpl w:val="1EE46A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F51789"/>
    <w:multiLevelType w:val="multilevel"/>
    <w:tmpl w:val="3B905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10"/>
  </w:num>
  <w:num w:numId="5">
    <w:abstractNumId w:val="11"/>
  </w:num>
  <w:num w:numId="6">
    <w:abstractNumId w:val="1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5"/>
  </w:num>
  <w:num w:numId="10">
    <w:abstractNumId w:val="0"/>
  </w:num>
  <w:num w:numId="11">
    <w:abstractNumId w:val="19"/>
  </w:num>
  <w:num w:numId="12">
    <w:abstractNumId w:val="16"/>
  </w:num>
  <w:num w:numId="13">
    <w:abstractNumId w:val="12"/>
  </w:num>
  <w:num w:numId="14">
    <w:abstractNumId w:val="1"/>
  </w:num>
  <w:num w:numId="15">
    <w:abstractNumId w:val="18"/>
  </w:num>
  <w:num w:numId="16">
    <w:abstractNumId w:val="17"/>
  </w:num>
  <w:num w:numId="17">
    <w:abstractNumId w:val="3"/>
  </w:num>
  <w:num w:numId="18">
    <w:abstractNumId w:val="4"/>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3C6"/>
    <w:rsid w:val="00172D52"/>
    <w:rsid w:val="007C2C69"/>
    <w:rsid w:val="00BD6DD1"/>
    <w:rsid w:val="00D103C6"/>
    <w:rsid w:val="00FE5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1E212-9B62-4270-93CA-EF607947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DD1"/>
    <w:pPr>
      <w:widowControl w:val="0"/>
      <w:suppressAutoHyphens/>
      <w:spacing w:after="0" w:line="240" w:lineRule="auto"/>
      <w:jc w:val="both"/>
    </w:pPr>
    <w:rPr>
      <w:rFonts w:ascii="Times New Roman" w:eastAsia="Times New Roman" w:hAnsi="Times New Roman" w:cs="Times New Roman"/>
      <w:color w:val="00000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6D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400666923/hdoc/2006" TargetMode="External"/><Relationship Id="rId13" Type="http://schemas.openxmlformats.org/officeDocument/2006/relationships/hyperlink" Target="https://its.1c.ru/db/content/metbud81/src/apsolstatefinanced/stateacc2/inventory/i8107956.htm" TargetMode="External"/><Relationship Id="rId18" Type="http://schemas.openxmlformats.org/officeDocument/2006/relationships/hyperlink" Target="https://its.1c.ru/db/content/metbud81/src/apsolstatefinanced/stateacc2/inventory/i8107956.htm" TargetMode="External"/><Relationship Id="rId26" Type="http://schemas.openxmlformats.org/officeDocument/2006/relationships/hyperlink" Target="https://its.1c.ru/db/content/metbud81/src/apsolstatefinanced/stateacc2/inventory/i8107956.htm" TargetMode="External"/><Relationship Id="rId3" Type="http://schemas.openxmlformats.org/officeDocument/2006/relationships/settings" Target="settings.xml"/><Relationship Id="rId21" Type="http://schemas.openxmlformats.org/officeDocument/2006/relationships/hyperlink" Target="https://its.1c.ru/db/garant/content/400666923/hdoc/2017" TargetMode="External"/><Relationship Id="rId7" Type="http://schemas.openxmlformats.org/officeDocument/2006/relationships/hyperlink" Target="https://its.1c.ru/db/content/metbud81/src/apsolstatefinanced/stateacc2/inventory/i8107956.htm" TargetMode="External"/><Relationship Id="rId12" Type="http://schemas.openxmlformats.org/officeDocument/2006/relationships/hyperlink" Target="https://its.1c.ru/db/content/metbud81/src/apsolstatefinanced/stateacc2/inventory/i8107956.htm" TargetMode="External"/><Relationship Id="rId17" Type="http://schemas.openxmlformats.org/officeDocument/2006/relationships/hyperlink" Target="https://its.1c.ru/db/garant/content/400666923/hdoc/2005" TargetMode="External"/><Relationship Id="rId25" Type="http://schemas.openxmlformats.org/officeDocument/2006/relationships/hyperlink" Target="https://its.1c.ru/db/garant/content/400666923/hdoc/2010" TargetMode="External"/><Relationship Id="rId2" Type="http://schemas.openxmlformats.org/officeDocument/2006/relationships/styles" Target="styles.xml"/><Relationship Id="rId16" Type="http://schemas.openxmlformats.org/officeDocument/2006/relationships/hyperlink" Target="https://its.1c.ru/db/garant/content/70851956/hdoc/4420" TargetMode="External"/><Relationship Id="rId20" Type="http://schemas.openxmlformats.org/officeDocument/2006/relationships/hyperlink" Target="https://its.1c.ru/db/garant/content/400666923/hdoc/2006" TargetMode="External"/><Relationship Id="rId1" Type="http://schemas.openxmlformats.org/officeDocument/2006/relationships/numbering" Target="numbering.xml"/><Relationship Id="rId6" Type="http://schemas.openxmlformats.org/officeDocument/2006/relationships/hyperlink" Target="consultantplus://offline/ref=E107402A462D40E51F6E7F93730FC710A02B5A211C021DF12473307DB6F4B8CBF42F14C63AC69297lCjDI" TargetMode="External"/><Relationship Id="rId11" Type="http://schemas.openxmlformats.org/officeDocument/2006/relationships/hyperlink" Target="https://its.1c.ru/db/garant/content/400666923/hdoc/2005" TargetMode="External"/><Relationship Id="rId24" Type="http://schemas.openxmlformats.org/officeDocument/2006/relationships/hyperlink" Target="https://its.1c.ru/db/content/metbud81/src/apsolstatefinanced/stateacc2/inventory/i8107956.htm" TargetMode="External"/><Relationship Id="rId5" Type="http://schemas.openxmlformats.org/officeDocument/2006/relationships/hyperlink" Target="consultantplus://offline/ref=E547F203559C23549556E0A141A1009344C05535623A1FFDAA3B0961DA0568273178C19489BABAE4qEr3K" TargetMode="External"/><Relationship Id="rId15" Type="http://schemas.openxmlformats.org/officeDocument/2006/relationships/hyperlink" Target="https://its.1c.ru/db/garant/content/400666923/hdoc/2017" TargetMode="External"/><Relationship Id="rId23" Type="http://schemas.openxmlformats.org/officeDocument/2006/relationships/hyperlink" Target="https://its.1c.ru/db/content/metbud81/src/apsolstatefinanced/stateacc2/inventory/i8107956.htm" TargetMode="External"/><Relationship Id="rId28" Type="http://schemas.openxmlformats.org/officeDocument/2006/relationships/theme" Target="theme/theme1.xml"/><Relationship Id="rId10" Type="http://schemas.openxmlformats.org/officeDocument/2006/relationships/hyperlink" Target="https://its.1c.ru/db/garant/content/70851956/hdoc/4420" TargetMode="External"/><Relationship Id="rId19" Type="http://schemas.openxmlformats.org/officeDocument/2006/relationships/hyperlink" Target="https://its.1c.ru/db/content/metbud81/src/apsolstatefinanced/stateacc2/inventory/i8107956.htm" TargetMode="External"/><Relationship Id="rId4" Type="http://schemas.openxmlformats.org/officeDocument/2006/relationships/webSettings" Target="webSettings.xml"/><Relationship Id="rId9" Type="http://schemas.openxmlformats.org/officeDocument/2006/relationships/hyperlink" Target="https://its.1c.ru/db/garant/content/400666923/hdoc/2017" TargetMode="External"/><Relationship Id="rId14" Type="http://schemas.openxmlformats.org/officeDocument/2006/relationships/hyperlink" Target="https://its.1c.ru/db/garant/content/400666923/hdoc/2006" TargetMode="External"/><Relationship Id="rId22" Type="http://schemas.openxmlformats.org/officeDocument/2006/relationships/hyperlink" Target="https://its.1c.ru/db/garant/content/400666923/hdoc/20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2937</Words>
  <Characters>16742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 Парамзина</dc:creator>
  <cp:keywords/>
  <dc:description/>
  <cp:lastModifiedBy>Галина А. Парамзина</cp:lastModifiedBy>
  <cp:revision>3</cp:revision>
  <dcterms:created xsi:type="dcterms:W3CDTF">2024-07-26T10:15:00Z</dcterms:created>
  <dcterms:modified xsi:type="dcterms:W3CDTF">2026-05-28T11:06:00Z</dcterms:modified>
</cp:coreProperties>
</file>